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3BC" w:rsidRPr="00ED7F3D" w:rsidRDefault="009403BC" w:rsidP="009403BC">
      <w:pPr>
        <w:spacing w:after="0" w:line="240" w:lineRule="auto"/>
        <w:jc w:val="center"/>
        <w:rPr>
          <w:rFonts w:ascii="Times New Roman" w:eastAsia="Calibri" w:hAnsi="Times New Roman" w:cs="Times New Roman"/>
          <w:b/>
          <w:sz w:val="24"/>
          <w:szCs w:val="24"/>
          <w:lang w:val="bg-BG"/>
        </w:rPr>
      </w:pPr>
      <w:r w:rsidRPr="00ED7F3D">
        <w:rPr>
          <w:rFonts w:ascii="Times New Roman" w:eastAsia="Calibri" w:hAnsi="Times New Roman" w:cs="Times New Roman"/>
          <w:b/>
          <w:bCs/>
          <w:sz w:val="24"/>
          <w:szCs w:val="24"/>
          <w:lang w:val="bg-BG"/>
        </w:rPr>
        <w:t xml:space="preserve">Изисквания към собствениците/ползвателите/управителите на приоритетни обекти с обществено предназначение за провеждане на мониторинг и изготвяне оценка на риска на </w:t>
      </w:r>
      <w:r w:rsidRPr="00ED7F3D">
        <w:rPr>
          <w:rFonts w:ascii="Times New Roman" w:eastAsia="Calibri" w:hAnsi="Times New Roman" w:cs="Times New Roman"/>
          <w:b/>
          <w:sz w:val="24"/>
          <w:szCs w:val="24"/>
          <w:lang w:val="bg-BG"/>
        </w:rPr>
        <w:t>вътрешната разпределителна система</w:t>
      </w:r>
    </w:p>
    <w:p w:rsidR="009403BC" w:rsidRPr="00ED7F3D" w:rsidRDefault="009403BC" w:rsidP="009403BC">
      <w:pPr>
        <w:spacing w:after="0" w:line="240" w:lineRule="auto"/>
        <w:jc w:val="center"/>
        <w:rPr>
          <w:rFonts w:ascii="Times New Roman" w:eastAsia="Calibri" w:hAnsi="Times New Roman" w:cs="Times New Roman"/>
          <w:b/>
          <w:bCs/>
          <w:sz w:val="24"/>
          <w:szCs w:val="24"/>
          <w:lang w:val="bg-BG"/>
        </w:rPr>
      </w:pPr>
    </w:p>
    <w:p w:rsidR="009403BC" w:rsidRPr="00ED7F3D" w:rsidRDefault="009403BC" w:rsidP="009403BC">
      <w:pPr>
        <w:spacing w:after="0" w:line="240" w:lineRule="auto"/>
        <w:ind w:firstLine="708"/>
        <w:jc w:val="both"/>
        <w:rPr>
          <w:rFonts w:ascii="Times New Roman" w:eastAsia="Calibri" w:hAnsi="Times New Roman" w:cs="Times New Roman"/>
          <w:sz w:val="24"/>
          <w:szCs w:val="24"/>
          <w:lang w:val="bg-BG"/>
        </w:rPr>
      </w:pPr>
      <w:r w:rsidRPr="00ED7F3D">
        <w:rPr>
          <w:rFonts w:ascii="Times New Roman" w:eastAsia="Calibri" w:hAnsi="Times New Roman" w:cs="Times New Roman"/>
          <w:sz w:val="24"/>
          <w:szCs w:val="24"/>
          <w:lang w:val="bg-BG"/>
        </w:rPr>
        <w:t xml:space="preserve">Във връзка с изменение от 2023г. на Наредба № 9 от 16 март 2001 г. за качеството на водата, предназначена за питейно-битови цели, от 2028 г. влиза в сила изискването на чл. 6г от посочената Наредба № 9 за извършване оценка на риска на вътрешната разпределителна система от собственици/ползватели/управители на </w:t>
      </w:r>
      <w:r w:rsidRPr="00ED7F3D">
        <w:rPr>
          <w:rFonts w:ascii="Times New Roman" w:eastAsia="Calibri" w:hAnsi="Times New Roman" w:cs="Times New Roman"/>
          <w:b/>
          <w:sz w:val="24"/>
          <w:szCs w:val="24"/>
          <w:lang w:val="bg-BG"/>
        </w:rPr>
        <w:t>приоритетни обекти</w:t>
      </w:r>
      <w:r w:rsidRPr="00ED7F3D">
        <w:rPr>
          <w:rFonts w:ascii="Times New Roman" w:eastAsia="Calibri" w:hAnsi="Times New Roman" w:cs="Times New Roman"/>
          <w:sz w:val="24"/>
          <w:szCs w:val="24"/>
          <w:lang w:val="bg-BG"/>
        </w:rPr>
        <w:t>, независимо от тяхната собственост.</w:t>
      </w:r>
    </w:p>
    <w:p w:rsidR="009403BC" w:rsidRPr="00ED7F3D" w:rsidRDefault="009403BC" w:rsidP="009403BC">
      <w:pPr>
        <w:spacing w:after="0" w:line="240" w:lineRule="auto"/>
        <w:ind w:firstLine="708"/>
        <w:jc w:val="both"/>
        <w:rPr>
          <w:rFonts w:ascii="Times New Roman" w:eastAsia="Calibri" w:hAnsi="Times New Roman" w:cs="Times New Roman"/>
          <w:sz w:val="24"/>
          <w:szCs w:val="24"/>
          <w:lang w:val="bg-BG"/>
        </w:rPr>
      </w:pPr>
    </w:p>
    <w:p w:rsidR="009403BC" w:rsidRPr="00ED7F3D" w:rsidRDefault="009403BC" w:rsidP="009403BC">
      <w:pPr>
        <w:spacing w:after="0" w:line="256" w:lineRule="auto"/>
        <w:ind w:firstLine="850"/>
        <w:jc w:val="both"/>
        <w:rPr>
          <w:rFonts w:ascii="Times New Roman" w:eastAsia="Calibri" w:hAnsi="Times New Roman" w:cs="Times New Roman"/>
          <w:sz w:val="24"/>
          <w:szCs w:val="24"/>
          <w:lang w:val="bg-BG"/>
        </w:rPr>
      </w:pPr>
      <w:r w:rsidRPr="00ED7F3D">
        <w:rPr>
          <w:rFonts w:ascii="Times New Roman" w:eastAsia="Calibri" w:hAnsi="Times New Roman" w:cs="Times New Roman"/>
          <w:b/>
          <w:sz w:val="24"/>
          <w:szCs w:val="24"/>
          <w:lang w:val="bg-BG"/>
        </w:rPr>
        <w:t>ПРИОРИТЕТНИ ОБЕКТИ</w:t>
      </w:r>
      <w:r w:rsidRPr="00ED7F3D">
        <w:rPr>
          <w:rFonts w:ascii="Times New Roman" w:eastAsia="Calibri" w:hAnsi="Times New Roman" w:cs="Times New Roman"/>
          <w:sz w:val="24"/>
          <w:szCs w:val="24"/>
          <w:lang w:val="bg-BG"/>
        </w:rPr>
        <w:t xml:space="preserve"> са следните обекти с обществено предназначение:</w:t>
      </w:r>
    </w:p>
    <w:p w:rsidR="009403BC" w:rsidRPr="00ED7F3D" w:rsidRDefault="009403BC" w:rsidP="009403BC">
      <w:pPr>
        <w:pStyle w:val="ListParagraph"/>
        <w:numPr>
          <w:ilvl w:val="0"/>
          <w:numId w:val="1"/>
        </w:numPr>
        <w:spacing w:line="276" w:lineRule="auto"/>
        <w:rPr>
          <w:rFonts w:ascii="Times New Roman" w:eastAsia="Times New Roman" w:hAnsi="Times New Roman" w:cs="Times New Roman"/>
          <w:b/>
          <w:color w:val="000000"/>
          <w:sz w:val="24"/>
          <w:szCs w:val="24"/>
          <w:lang w:eastAsia="bg-BG"/>
        </w:rPr>
      </w:pPr>
      <w:r w:rsidRPr="00ED7F3D">
        <w:rPr>
          <w:rFonts w:ascii="Times New Roman" w:eastAsia="Times New Roman" w:hAnsi="Times New Roman" w:cs="Times New Roman"/>
          <w:color w:val="000000"/>
          <w:sz w:val="24"/>
          <w:szCs w:val="24"/>
          <w:lang w:eastAsia="bg-BG"/>
        </w:rPr>
        <w:t xml:space="preserve">лечебни заведения за </w:t>
      </w:r>
      <w:r w:rsidRPr="00ED7F3D">
        <w:rPr>
          <w:rFonts w:ascii="Times New Roman" w:eastAsia="Times New Roman" w:hAnsi="Times New Roman" w:cs="Times New Roman"/>
          <w:b/>
          <w:color w:val="000000"/>
          <w:sz w:val="24"/>
          <w:szCs w:val="24"/>
          <w:lang w:eastAsia="bg-BG"/>
        </w:rPr>
        <w:t>болнична помощ</w:t>
      </w:r>
    </w:p>
    <w:p w:rsidR="009403BC" w:rsidRPr="00ED7F3D" w:rsidRDefault="009403BC" w:rsidP="009403BC">
      <w:pPr>
        <w:pStyle w:val="ListParagraph"/>
        <w:numPr>
          <w:ilvl w:val="0"/>
          <w:numId w:val="1"/>
        </w:numPr>
        <w:shd w:val="clear" w:color="auto" w:fill="FEFEFE"/>
        <w:spacing w:line="276" w:lineRule="auto"/>
        <w:rPr>
          <w:rFonts w:ascii="Times New Roman" w:eastAsia="Times New Roman" w:hAnsi="Times New Roman" w:cs="Times New Roman"/>
          <w:color w:val="000000"/>
          <w:sz w:val="24"/>
          <w:szCs w:val="24"/>
          <w:lang w:eastAsia="bg-BG"/>
        </w:rPr>
      </w:pPr>
      <w:r w:rsidRPr="00ED7F3D">
        <w:rPr>
          <w:rFonts w:ascii="Times New Roman" w:eastAsia="Times New Roman" w:hAnsi="Times New Roman" w:cs="Times New Roman"/>
          <w:color w:val="000000"/>
          <w:sz w:val="24"/>
          <w:szCs w:val="24"/>
          <w:lang w:eastAsia="bg-BG"/>
        </w:rPr>
        <w:t>лечебни заведения по смисъла на чл. 10, т. 2 и т. 4 - 6 от Закона за лечебните заведения;</w:t>
      </w:r>
    </w:p>
    <w:p w:rsidR="009403BC" w:rsidRPr="00ED7F3D" w:rsidRDefault="009403BC" w:rsidP="009403BC">
      <w:pPr>
        <w:pStyle w:val="ListParagraph"/>
        <w:numPr>
          <w:ilvl w:val="0"/>
          <w:numId w:val="2"/>
        </w:numPr>
        <w:shd w:val="clear" w:color="auto" w:fill="FFFFFF"/>
        <w:spacing w:line="276" w:lineRule="auto"/>
        <w:ind w:hanging="11"/>
        <w:rPr>
          <w:rFonts w:ascii="Times New Roman" w:eastAsia="Times New Roman" w:hAnsi="Times New Roman" w:cs="Times New Roman"/>
          <w:color w:val="000000"/>
          <w:sz w:val="24"/>
          <w:szCs w:val="24"/>
          <w:lang w:eastAsia="bg-BG"/>
        </w:rPr>
      </w:pPr>
      <w:r w:rsidRPr="00ED7F3D">
        <w:rPr>
          <w:rFonts w:ascii="Times New Roman" w:eastAsia="Times New Roman" w:hAnsi="Times New Roman" w:cs="Times New Roman"/>
          <w:b/>
          <w:color w:val="000000"/>
          <w:sz w:val="24"/>
          <w:szCs w:val="24"/>
          <w:lang w:eastAsia="bg-BG"/>
        </w:rPr>
        <w:t>център за трансфузионна хематология</w:t>
      </w:r>
      <w:r w:rsidRPr="00ED7F3D">
        <w:rPr>
          <w:rFonts w:ascii="Times New Roman" w:eastAsia="Times New Roman" w:hAnsi="Times New Roman" w:cs="Times New Roman"/>
          <w:color w:val="000000"/>
          <w:sz w:val="24"/>
          <w:szCs w:val="24"/>
          <w:lang w:eastAsia="bg-BG"/>
        </w:rPr>
        <w:t>;</w:t>
      </w:r>
    </w:p>
    <w:p w:rsidR="009403BC" w:rsidRPr="00ED7F3D" w:rsidRDefault="009403BC" w:rsidP="009403BC">
      <w:pPr>
        <w:pStyle w:val="ListParagraph"/>
        <w:numPr>
          <w:ilvl w:val="0"/>
          <w:numId w:val="2"/>
        </w:numPr>
        <w:shd w:val="clear" w:color="auto" w:fill="FFFFFF"/>
        <w:spacing w:line="276" w:lineRule="auto"/>
        <w:ind w:hanging="11"/>
        <w:rPr>
          <w:rFonts w:ascii="Times New Roman" w:eastAsia="Times New Roman" w:hAnsi="Times New Roman" w:cs="Times New Roman"/>
          <w:b/>
          <w:color w:val="000000"/>
          <w:sz w:val="24"/>
          <w:szCs w:val="24"/>
          <w:lang w:eastAsia="bg-BG"/>
        </w:rPr>
      </w:pPr>
      <w:r w:rsidRPr="00ED7F3D">
        <w:rPr>
          <w:rFonts w:ascii="Times New Roman" w:eastAsia="Times New Roman" w:hAnsi="Times New Roman" w:cs="Times New Roman"/>
          <w:b/>
          <w:color w:val="000000"/>
          <w:sz w:val="24"/>
          <w:szCs w:val="24"/>
          <w:lang w:eastAsia="bg-BG"/>
        </w:rPr>
        <w:t>дом за медико-социални грижи за пълнолетни лица;</w:t>
      </w:r>
    </w:p>
    <w:p w:rsidR="009403BC" w:rsidRPr="00ED7F3D" w:rsidRDefault="009403BC" w:rsidP="009403BC">
      <w:pPr>
        <w:pStyle w:val="ListParagraph"/>
        <w:numPr>
          <w:ilvl w:val="0"/>
          <w:numId w:val="2"/>
        </w:numPr>
        <w:shd w:val="clear" w:color="auto" w:fill="FFFFFF"/>
        <w:spacing w:line="276" w:lineRule="auto"/>
        <w:ind w:left="1418" w:hanging="709"/>
        <w:rPr>
          <w:rFonts w:ascii="Times New Roman" w:eastAsia="Times New Roman" w:hAnsi="Times New Roman" w:cs="Times New Roman"/>
          <w:b/>
          <w:color w:val="000000"/>
          <w:sz w:val="24"/>
          <w:szCs w:val="24"/>
          <w:lang w:eastAsia="bg-BG"/>
        </w:rPr>
      </w:pPr>
      <w:r w:rsidRPr="00ED7F3D">
        <w:rPr>
          <w:rFonts w:ascii="Times New Roman" w:eastAsia="Times New Roman" w:hAnsi="Times New Roman" w:cs="Times New Roman"/>
          <w:b/>
          <w:color w:val="000000"/>
          <w:sz w:val="24"/>
          <w:szCs w:val="24"/>
          <w:lang w:eastAsia="bg-BG"/>
        </w:rPr>
        <w:t>център за комплексно обслужване на деца с увреждания и хронични заболявания;</w:t>
      </w:r>
    </w:p>
    <w:p w:rsidR="009403BC" w:rsidRPr="00ED7F3D" w:rsidRDefault="009403BC" w:rsidP="009403BC">
      <w:pPr>
        <w:pStyle w:val="ListParagraph"/>
        <w:numPr>
          <w:ilvl w:val="0"/>
          <w:numId w:val="2"/>
        </w:numPr>
        <w:shd w:val="clear" w:color="auto" w:fill="FFFFFF"/>
        <w:spacing w:line="276" w:lineRule="auto"/>
        <w:ind w:hanging="11"/>
        <w:rPr>
          <w:rFonts w:ascii="Times New Roman" w:eastAsia="Times New Roman" w:hAnsi="Times New Roman" w:cs="Times New Roman"/>
          <w:b/>
          <w:color w:val="000000"/>
          <w:sz w:val="24"/>
          <w:szCs w:val="24"/>
          <w:lang w:eastAsia="bg-BG"/>
        </w:rPr>
      </w:pPr>
      <w:r w:rsidRPr="00ED7F3D">
        <w:rPr>
          <w:rFonts w:ascii="Times New Roman" w:eastAsia="Times New Roman" w:hAnsi="Times New Roman" w:cs="Times New Roman"/>
          <w:b/>
          <w:color w:val="000000"/>
          <w:sz w:val="24"/>
          <w:szCs w:val="24"/>
          <w:lang w:eastAsia="bg-BG"/>
        </w:rPr>
        <w:t>хоспис;</w:t>
      </w:r>
    </w:p>
    <w:p w:rsidR="009403BC" w:rsidRPr="00ED7F3D" w:rsidRDefault="009403BC" w:rsidP="009403BC">
      <w:pPr>
        <w:pStyle w:val="ListParagraph"/>
        <w:numPr>
          <w:ilvl w:val="0"/>
          <w:numId w:val="2"/>
        </w:numPr>
        <w:shd w:val="clear" w:color="auto" w:fill="FFFFFF"/>
        <w:spacing w:line="276" w:lineRule="auto"/>
        <w:ind w:hanging="11"/>
        <w:rPr>
          <w:rFonts w:ascii="Times New Roman" w:eastAsia="Times New Roman" w:hAnsi="Times New Roman" w:cs="Times New Roman"/>
          <w:color w:val="000000"/>
          <w:sz w:val="24"/>
          <w:szCs w:val="24"/>
          <w:lang w:eastAsia="bg-BG"/>
        </w:rPr>
      </w:pPr>
      <w:r w:rsidRPr="00ED7F3D">
        <w:rPr>
          <w:rFonts w:ascii="Times New Roman" w:eastAsia="Times New Roman" w:hAnsi="Times New Roman" w:cs="Times New Roman"/>
          <w:b/>
          <w:color w:val="000000"/>
          <w:sz w:val="24"/>
          <w:szCs w:val="24"/>
          <w:lang w:eastAsia="bg-BG"/>
        </w:rPr>
        <w:t>диализен център</w:t>
      </w:r>
      <w:r w:rsidRPr="00ED7F3D">
        <w:rPr>
          <w:rFonts w:ascii="Times New Roman" w:eastAsia="Times New Roman" w:hAnsi="Times New Roman" w:cs="Times New Roman"/>
          <w:color w:val="000000"/>
          <w:sz w:val="24"/>
          <w:szCs w:val="24"/>
          <w:lang w:eastAsia="bg-BG"/>
        </w:rPr>
        <w:t>;</w:t>
      </w:r>
    </w:p>
    <w:p w:rsidR="009403BC" w:rsidRPr="00ED7F3D" w:rsidRDefault="009403BC" w:rsidP="009403BC">
      <w:pPr>
        <w:pStyle w:val="ListParagraph"/>
        <w:numPr>
          <w:ilvl w:val="0"/>
          <w:numId w:val="1"/>
        </w:numPr>
        <w:spacing w:line="276" w:lineRule="auto"/>
        <w:jc w:val="both"/>
        <w:rPr>
          <w:rFonts w:ascii="Times New Roman" w:eastAsia="Times New Roman" w:hAnsi="Times New Roman" w:cs="Times New Roman"/>
          <w:color w:val="000000"/>
          <w:sz w:val="24"/>
          <w:szCs w:val="24"/>
          <w:lang w:eastAsia="bg-BG"/>
        </w:rPr>
      </w:pPr>
      <w:r w:rsidRPr="00ED7F3D">
        <w:rPr>
          <w:rFonts w:ascii="Times New Roman" w:eastAsia="Times New Roman" w:hAnsi="Times New Roman" w:cs="Times New Roman"/>
          <w:color w:val="000000"/>
          <w:sz w:val="24"/>
          <w:szCs w:val="24"/>
          <w:lang w:eastAsia="bg-BG"/>
        </w:rPr>
        <w:t>лечебни заведения по смисъла на чл. 10, т. 3 - 3б от Закона за лечебните заведения, когато същите са със стационар;</w:t>
      </w:r>
    </w:p>
    <w:p w:rsidR="009403BC" w:rsidRPr="00ED7F3D" w:rsidRDefault="009403BC" w:rsidP="009403BC">
      <w:pPr>
        <w:pStyle w:val="ListParagraph"/>
        <w:numPr>
          <w:ilvl w:val="0"/>
          <w:numId w:val="3"/>
        </w:numPr>
        <w:shd w:val="clear" w:color="auto" w:fill="FFFFFF"/>
        <w:spacing w:line="276" w:lineRule="auto"/>
        <w:ind w:hanging="11"/>
        <w:rPr>
          <w:rFonts w:ascii="Times New Roman" w:eastAsia="Times New Roman" w:hAnsi="Times New Roman" w:cs="Times New Roman"/>
          <w:b/>
          <w:color w:val="000000"/>
          <w:sz w:val="24"/>
          <w:szCs w:val="24"/>
          <w:lang w:eastAsia="bg-BG"/>
        </w:rPr>
      </w:pPr>
      <w:r w:rsidRPr="00ED7F3D">
        <w:rPr>
          <w:rFonts w:ascii="Times New Roman" w:eastAsia="Times New Roman" w:hAnsi="Times New Roman" w:cs="Times New Roman"/>
          <w:b/>
          <w:color w:val="000000"/>
          <w:sz w:val="24"/>
          <w:szCs w:val="24"/>
          <w:lang w:eastAsia="bg-BG"/>
        </w:rPr>
        <w:t>център за психично здраве;</w:t>
      </w:r>
    </w:p>
    <w:p w:rsidR="009403BC" w:rsidRPr="00ED7F3D" w:rsidRDefault="009403BC" w:rsidP="009403BC">
      <w:pPr>
        <w:pStyle w:val="ListParagraph"/>
        <w:numPr>
          <w:ilvl w:val="0"/>
          <w:numId w:val="3"/>
        </w:numPr>
        <w:shd w:val="clear" w:color="auto" w:fill="FFFFFF"/>
        <w:spacing w:line="276" w:lineRule="auto"/>
        <w:ind w:hanging="11"/>
        <w:rPr>
          <w:rFonts w:ascii="Times New Roman" w:eastAsia="Times New Roman" w:hAnsi="Times New Roman" w:cs="Times New Roman"/>
          <w:b/>
          <w:color w:val="000000"/>
          <w:sz w:val="24"/>
          <w:szCs w:val="24"/>
          <w:lang w:eastAsia="bg-BG"/>
        </w:rPr>
      </w:pPr>
      <w:r w:rsidRPr="00ED7F3D">
        <w:rPr>
          <w:rFonts w:ascii="Times New Roman" w:eastAsia="Times New Roman" w:hAnsi="Times New Roman" w:cs="Times New Roman"/>
          <w:b/>
          <w:color w:val="000000"/>
          <w:sz w:val="24"/>
          <w:szCs w:val="24"/>
          <w:lang w:eastAsia="bg-BG"/>
        </w:rPr>
        <w:t>център за кожно-венерически заболявания;</w:t>
      </w:r>
    </w:p>
    <w:p w:rsidR="009403BC" w:rsidRPr="00ED7F3D" w:rsidRDefault="009403BC" w:rsidP="009403BC">
      <w:pPr>
        <w:pStyle w:val="ListParagraph"/>
        <w:numPr>
          <w:ilvl w:val="0"/>
          <w:numId w:val="3"/>
        </w:numPr>
        <w:shd w:val="clear" w:color="auto" w:fill="FFFFFF"/>
        <w:spacing w:line="276" w:lineRule="auto"/>
        <w:ind w:hanging="11"/>
        <w:rPr>
          <w:rFonts w:ascii="Times New Roman" w:eastAsia="Times New Roman" w:hAnsi="Times New Roman" w:cs="Times New Roman"/>
          <w:b/>
          <w:color w:val="000000"/>
          <w:sz w:val="24"/>
          <w:szCs w:val="24"/>
          <w:lang w:eastAsia="bg-BG"/>
        </w:rPr>
      </w:pPr>
      <w:r w:rsidRPr="00ED7F3D">
        <w:rPr>
          <w:rFonts w:ascii="Times New Roman" w:eastAsia="Times New Roman" w:hAnsi="Times New Roman" w:cs="Times New Roman"/>
          <w:b/>
          <w:color w:val="000000"/>
          <w:sz w:val="24"/>
          <w:szCs w:val="24"/>
          <w:lang w:eastAsia="bg-BG"/>
        </w:rPr>
        <w:t>комплексен онкологичен център;</w:t>
      </w:r>
    </w:p>
    <w:p w:rsidR="009403BC" w:rsidRPr="00ED7F3D" w:rsidRDefault="009403BC" w:rsidP="009403BC">
      <w:pPr>
        <w:shd w:val="clear" w:color="auto" w:fill="FEFEFE"/>
        <w:spacing w:after="0" w:line="276" w:lineRule="auto"/>
        <w:ind w:firstLine="426"/>
        <w:rPr>
          <w:rFonts w:ascii="Times New Roman" w:eastAsia="Times New Roman" w:hAnsi="Times New Roman" w:cs="Times New Roman"/>
          <w:color w:val="000000"/>
          <w:sz w:val="24"/>
          <w:szCs w:val="24"/>
          <w:lang w:eastAsia="bg-BG"/>
        </w:rPr>
      </w:pPr>
      <w:r w:rsidRPr="00ED7F3D">
        <w:rPr>
          <w:rFonts w:ascii="Times New Roman" w:eastAsia="Times New Roman" w:hAnsi="Times New Roman" w:cs="Times New Roman"/>
          <w:color w:val="000000"/>
          <w:sz w:val="24"/>
          <w:szCs w:val="24"/>
          <w:lang w:eastAsia="bg-BG"/>
        </w:rPr>
        <w:t>4. детски ясли, детски градини и училища;</w:t>
      </w:r>
    </w:p>
    <w:p w:rsidR="009403BC" w:rsidRPr="00ED7F3D" w:rsidRDefault="009403BC" w:rsidP="009403BC">
      <w:pPr>
        <w:shd w:val="clear" w:color="auto" w:fill="FEFEFE"/>
        <w:spacing w:line="276" w:lineRule="auto"/>
        <w:ind w:left="709" w:hanging="283"/>
        <w:rPr>
          <w:rFonts w:ascii="Times New Roman" w:eastAsia="Times New Roman" w:hAnsi="Times New Roman" w:cs="Times New Roman"/>
          <w:color w:val="000000"/>
          <w:sz w:val="24"/>
          <w:szCs w:val="24"/>
          <w:lang w:eastAsia="bg-BG"/>
        </w:rPr>
      </w:pPr>
      <w:r w:rsidRPr="00ED7F3D">
        <w:rPr>
          <w:rFonts w:ascii="Times New Roman" w:eastAsia="Times New Roman" w:hAnsi="Times New Roman" w:cs="Times New Roman"/>
          <w:color w:val="000000"/>
          <w:sz w:val="24"/>
          <w:szCs w:val="24"/>
          <w:lang w:eastAsia="bg-BG"/>
        </w:rPr>
        <w:t>5. местата за настаняване по смисъла на чл. 3, ал. 2, т. 1, букви "а" и "б" от Закона за туризма.</w:t>
      </w:r>
    </w:p>
    <w:p w:rsidR="009403BC" w:rsidRPr="00ED7F3D" w:rsidRDefault="009403BC" w:rsidP="009403BC">
      <w:pPr>
        <w:pStyle w:val="ListParagraph"/>
        <w:numPr>
          <w:ilvl w:val="0"/>
          <w:numId w:val="4"/>
        </w:numPr>
        <w:shd w:val="clear" w:color="auto" w:fill="FFFFFF"/>
        <w:ind w:hanging="11"/>
        <w:jc w:val="both"/>
        <w:rPr>
          <w:rFonts w:ascii="Times New Roman" w:eastAsia="Times New Roman" w:hAnsi="Times New Roman" w:cs="Times New Roman"/>
          <w:b/>
          <w:color w:val="000000"/>
          <w:sz w:val="24"/>
          <w:szCs w:val="24"/>
          <w:lang w:eastAsia="bg-BG"/>
        </w:rPr>
      </w:pPr>
      <w:r w:rsidRPr="00ED7F3D">
        <w:rPr>
          <w:rFonts w:ascii="Times New Roman" w:eastAsia="Times New Roman" w:hAnsi="Times New Roman" w:cs="Times New Roman"/>
          <w:b/>
          <w:color w:val="000000"/>
          <w:sz w:val="24"/>
          <w:szCs w:val="24"/>
          <w:lang w:eastAsia="bg-BG"/>
        </w:rPr>
        <w:t>клас А</w:t>
      </w:r>
      <w:r w:rsidRPr="00ED7F3D">
        <w:rPr>
          <w:rFonts w:ascii="Times New Roman" w:eastAsia="Times New Roman" w:hAnsi="Times New Roman" w:cs="Times New Roman"/>
          <w:color w:val="000000"/>
          <w:sz w:val="24"/>
          <w:szCs w:val="24"/>
          <w:lang w:eastAsia="bg-BG"/>
        </w:rPr>
        <w:t xml:space="preserve"> </w:t>
      </w:r>
      <w:r w:rsidRPr="00ED7F3D">
        <w:rPr>
          <w:rFonts w:ascii="Times New Roman" w:eastAsia="Times New Roman" w:hAnsi="Times New Roman" w:cs="Times New Roman"/>
          <w:b/>
          <w:color w:val="000000"/>
          <w:sz w:val="24"/>
          <w:szCs w:val="24"/>
          <w:lang w:eastAsia="bg-BG"/>
        </w:rPr>
        <w:t>- хотели, мотели, апартаментни туристически комплекси, вилни селища, туристически селища и вили;</w:t>
      </w:r>
    </w:p>
    <w:p w:rsidR="009403BC" w:rsidRPr="00ED7F3D" w:rsidRDefault="009403BC" w:rsidP="009403BC">
      <w:pPr>
        <w:pStyle w:val="ListParagraph"/>
        <w:numPr>
          <w:ilvl w:val="0"/>
          <w:numId w:val="4"/>
        </w:numPr>
        <w:shd w:val="clear" w:color="auto" w:fill="FFFFFF"/>
        <w:ind w:hanging="11"/>
        <w:jc w:val="both"/>
        <w:rPr>
          <w:rFonts w:ascii="Times New Roman" w:eastAsia="Times New Roman" w:hAnsi="Times New Roman" w:cs="Times New Roman"/>
          <w:b/>
          <w:color w:val="000000"/>
          <w:sz w:val="24"/>
          <w:szCs w:val="24"/>
          <w:lang w:eastAsia="bg-BG"/>
        </w:rPr>
      </w:pPr>
      <w:r w:rsidRPr="00ED7F3D">
        <w:rPr>
          <w:rFonts w:ascii="Times New Roman" w:eastAsia="Times New Roman" w:hAnsi="Times New Roman" w:cs="Times New Roman"/>
          <w:b/>
          <w:color w:val="000000"/>
          <w:sz w:val="24"/>
          <w:szCs w:val="24"/>
          <w:lang w:eastAsia="bg-BG"/>
        </w:rPr>
        <w:t>клас Б</w:t>
      </w:r>
      <w:r w:rsidRPr="00ED7F3D">
        <w:rPr>
          <w:rFonts w:ascii="Times New Roman" w:eastAsia="Times New Roman" w:hAnsi="Times New Roman" w:cs="Times New Roman"/>
          <w:color w:val="000000"/>
          <w:sz w:val="24"/>
          <w:szCs w:val="24"/>
          <w:lang w:eastAsia="bg-BG"/>
        </w:rPr>
        <w:t xml:space="preserve"> - </w:t>
      </w:r>
      <w:r w:rsidRPr="00ED7F3D">
        <w:rPr>
          <w:rFonts w:ascii="Times New Roman" w:eastAsia="Times New Roman" w:hAnsi="Times New Roman" w:cs="Times New Roman"/>
          <w:b/>
          <w:color w:val="000000"/>
          <w:sz w:val="24"/>
          <w:szCs w:val="24"/>
          <w:lang w:eastAsia="bg-BG"/>
        </w:rPr>
        <w:t>семейни хотели, хостели, пансиони, почивни станции, къщи за гости, бунгала и къмпинги;</w:t>
      </w:r>
    </w:p>
    <w:p w:rsidR="003A1C67" w:rsidRPr="00ED7F3D" w:rsidRDefault="003A1C67" w:rsidP="003A1C67">
      <w:pPr>
        <w:spacing w:line="276" w:lineRule="auto"/>
        <w:ind w:firstLine="426"/>
        <w:jc w:val="both"/>
        <w:rPr>
          <w:rFonts w:ascii="Times New Roman" w:hAnsi="Times New Roman" w:cs="Times New Roman"/>
          <w:sz w:val="24"/>
          <w:szCs w:val="24"/>
          <w:lang w:val="bg-BG"/>
        </w:rPr>
      </w:pPr>
    </w:p>
    <w:p w:rsidR="003A1C67" w:rsidRPr="00ED7F3D" w:rsidRDefault="003A1C67" w:rsidP="003A1C67">
      <w:pPr>
        <w:spacing w:line="276" w:lineRule="auto"/>
        <w:ind w:firstLine="426"/>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Изготвянето на оценка на риска е свързан и с контрол по отношение изпълнение на новите изисквания, въведени с Директива (ЕС) 2020/2184 на Европейския парламент и на Съвета от 16 декември 2020 г. относно качеството на водата, предназначена за консумация от човека (преработена), съгласно националното законодателство в Наредба № 9 за качеството на водата, предназначена за питейно-битови цели, по отоношение на мерките, свързани с осигуряване достъпа до питейна вода, вкл. и задълженията на общинските органи, както и ангажиментите за предоставяне информация за обществеността.</w:t>
      </w:r>
    </w:p>
    <w:p w:rsidR="003A1C67" w:rsidRPr="00ED7F3D" w:rsidRDefault="003A1C67" w:rsidP="003A1C67">
      <w:pPr>
        <w:spacing w:line="276" w:lineRule="auto"/>
        <w:ind w:firstLine="426"/>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 xml:space="preserve">Изготвянето на оценка на риска за вътрешната разпределителна система има за цел: </w:t>
      </w:r>
    </w:p>
    <w:p w:rsidR="003A1C67" w:rsidRPr="00ED7F3D" w:rsidRDefault="003A1C67" w:rsidP="003A1C67">
      <w:pPr>
        <w:pStyle w:val="ListParagraph"/>
        <w:numPr>
          <w:ilvl w:val="0"/>
          <w:numId w:val="5"/>
        </w:numPr>
        <w:spacing w:line="276" w:lineRule="auto"/>
        <w:jc w:val="both"/>
        <w:rPr>
          <w:rFonts w:ascii="Times New Roman" w:hAnsi="Times New Roman" w:cs="Times New Roman"/>
          <w:sz w:val="24"/>
          <w:szCs w:val="24"/>
        </w:rPr>
      </w:pPr>
      <w:r w:rsidRPr="00ED7F3D">
        <w:rPr>
          <w:rFonts w:ascii="Times New Roman" w:hAnsi="Times New Roman" w:cs="Times New Roman"/>
          <w:color w:val="000000"/>
          <w:sz w:val="24"/>
          <w:szCs w:val="24"/>
        </w:rPr>
        <w:t>Опазване на общественото здраве;</w:t>
      </w:r>
    </w:p>
    <w:p w:rsidR="003A1C67" w:rsidRPr="00ED7F3D" w:rsidRDefault="003A1C67" w:rsidP="003A1C67">
      <w:pPr>
        <w:pStyle w:val="ListParagraph"/>
        <w:numPr>
          <w:ilvl w:val="0"/>
          <w:numId w:val="5"/>
        </w:numPr>
        <w:spacing w:line="276" w:lineRule="auto"/>
        <w:jc w:val="both"/>
        <w:rPr>
          <w:rFonts w:ascii="Times New Roman" w:hAnsi="Times New Roman" w:cs="Times New Roman"/>
          <w:sz w:val="24"/>
          <w:szCs w:val="24"/>
        </w:rPr>
      </w:pPr>
      <w:r w:rsidRPr="00ED7F3D">
        <w:rPr>
          <w:rFonts w:ascii="Times New Roman" w:hAnsi="Times New Roman" w:cs="Times New Roman"/>
          <w:color w:val="000000"/>
          <w:sz w:val="24"/>
          <w:szCs w:val="24"/>
        </w:rPr>
        <w:t>Осигуряване на безопасна и годна за пиене вода до крайния потребител;</w:t>
      </w:r>
    </w:p>
    <w:p w:rsidR="003A1C67" w:rsidRPr="00ED7F3D" w:rsidRDefault="003A1C67" w:rsidP="003A1C67">
      <w:pPr>
        <w:pStyle w:val="ListParagraph"/>
        <w:numPr>
          <w:ilvl w:val="0"/>
          <w:numId w:val="5"/>
        </w:numPr>
        <w:spacing w:line="276" w:lineRule="auto"/>
        <w:jc w:val="both"/>
        <w:rPr>
          <w:rFonts w:ascii="Times New Roman" w:hAnsi="Times New Roman" w:cs="Times New Roman"/>
          <w:sz w:val="24"/>
          <w:szCs w:val="24"/>
        </w:rPr>
      </w:pPr>
      <w:r w:rsidRPr="00ED7F3D">
        <w:rPr>
          <w:rFonts w:ascii="Times New Roman" w:hAnsi="Times New Roman" w:cs="Times New Roman"/>
          <w:color w:val="000000"/>
          <w:sz w:val="24"/>
          <w:szCs w:val="24"/>
        </w:rPr>
        <w:lastRenderedPageBreak/>
        <w:t>Идентифициране на потенциални рискове, като замърсяване на питейната вода в рамките на вътрешната водопроводна инсталация от точката на присъединяване към обществената мрежа до крайния потребител. Например при стари тръби, неподдържани резервоари, застой на водата, кръстосано свързване с други системи и др. Някои обекти имат остаряла инсталация или дълги периоди на застой (например лятото);</w:t>
      </w:r>
    </w:p>
    <w:p w:rsidR="003A1C67" w:rsidRPr="00ED7F3D" w:rsidRDefault="003A1C67" w:rsidP="003A1C67">
      <w:pPr>
        <w:pStyle w:val="ListParagraph"/>
        <w:numPr>
          <w:ilvl w:val="0"/>
          <w:numId w:val="5"/>
        </w:numPr>
        <w:spacing w:line="276" w:lineRule="auto"/>
        <w:jc w:val="both"/>
        <w:rPr>
          <w:rFonts w:ascii="Times New Roman" w:hAnsi="Times New Roman" w:cs="Times New Roman"/>
          <w:sz w:val="24"/>
          <w:szCs w:val="24"/>
        </w:rPr>
      </w:pPr>
      <w:r w:rsidRPr="00ED7F3D">
        <w:rPr>
          <w:rFonts w:ascii="Times New Roman" w:hAnsi="Times New Roman" w:cs="Times New Roman"/>
          <w:color w:val="000000"/>
          <w:sz w:val="24"/>
          <w:szCs w:val="24"/>
        </w:rPr>
        <w:t>Премахване или намаляване на риска от несъответствие със стандартите за качество на водата, предназначена за питейно-битови цели, във вътрешната разпределителна система;</w:t>
      </w:r>
    </w:p>
    <w:p w:rsidR="003A1C67" w:rsidRPr="00ED7F3D" w:rsidRDefault="003A1C67" w:rsidP="003A1C67">
      <w:pPr>
        <w:pStyle w:val="ListParagraph"/>
        <w:numPr>
          <w:ilvl w:val="0"/>
          <w:numId w:val="5"/>
        </w:numPr>
        <w:spacing w:line="276" w:lineRule="auto"/>
        <w:jc w:val="both"/>
        <w:rPr>
          <w:rFonts w:ascii="Times New Roman" w:hAnsi="Times New Roman" w:cs="Times New Roman"/>
          <w:sz w:val="24"/>
          <w:szCs w:val="24"/>
        </w:rPr>
      </w:pPr>
      <w:r w:rsidRPr="00ED7F3D">
        <w:rPr>
          <w:rFonts w:ascii="Times New Roman" w:hAnsi="Times New Roman" w:cs="Times New Roman"/>
          <w:color w:val="000000"/>
          <w:sz w:val="24"/>
          <w:szCs w:val="24"/>
        </w:rPr>
        <w:t>Осигуряване на адекватен мониторинг и мерки. По този начин може да се определи дали са необходими допълнителни мерки (например допълнително третиране, подмяна на части от системата, по – чести проби от водата);</w:t>
      </w:r>
    </w:p>
    <w:p w:rsidR="003A1C67" w:rsidRPr="00ED7F3D" w:rsidRDefault="003A1C67" w:rsidP="003A1C67">
      <w:pPr>
        <w:pStyle w:val="ListParagraph"/>
        <w:numPr>
          <w:ilvl w:val="0"/>
          <w:numId w:val="5"/>
        </w:numPr>
        <w:spacing w:line="276" w:lineRule="auto"/>
        <w:jc w:val="both"/>
        <w:rPr>
          <w:rFonts w:ascii="Times New Roman" w:hAnsi="Times New Roman" w:cs="Times New Roman"/>
          <w:sz w:val="24"/>
          <w:szCs w:val="24"/>
        </w:rPr>
      </w:pPr>
      <w:r w:rsidRPr="00ED7F3D">
        <w:rPr>
          <w:rFonts w:ascii="Times New Roman" w:hAnsi="Times New Roman" w:cs="Times New Roman"/>
          <w:color w:val="000000"/>
          <w:sz w:val="24"/>
          <w:szCs w:val="24"/>
        </w:rPr>
        <w:t>По този начин може да се определи дали са необходими съвети относно условията за консумация и употреба на водата, предназначена за питейно-битови цели, и относно възможните действия, с които да се избегне повторното възникване на риска;</w:t>
      </w:r>
    </w:p>
    <w:p w:rsidR="003A1C67" w:rsidRPr="00ED7F3D" w:rsidRDefault="003A1C67" w:rsidP="003A1C67">
      <w:pPr>
        <w:pStyle w:val="ListParagraph"/>
        <w:numPr>
          <w:ilvl w:val="0"/>
          <w:numId w:val="5"/>
        </w:numPr>
        <w:spacing w:line="276" w:lineRule="auto"/>
        <w:jc w:val="both"/>
        <w:rPr>
          <w:rFonts w:ascii="Times New Roman" w:hAnsi="Times New Roman" w:cs="Times New Roman"/>
          <w:sz w:val="24"/>
          <w:szCs w:val="24"/>
        </w:rPr>
      </w:pPr>
      <w:r w:rsidRPr="00ED7F3D">
        <w:rPr>
          <w:rFonts w:ascii="Times New Roman" w:hAnsi="Times New Roman" w:cs="Times New Roman"/>
          <w:color w:val="000000"/>
          <w:sz w:val="24"/>
          <w:szCs w:val="24"/>
        </w:rPr>
        <w:t>Елиминирането на възникване на евентуални епидемични взривове от Legionella;</w:t>
      </w:r>
    </w:p>
    <w:p w:rsidR="003A1C67" w:rsidRPr="00ED7F3D" w:rsidRDefault="003A1C67" w:rsidP="003A1C67">
      <w:pPr>
        <w:spacing w:line="276" w:lineRule="auto"/>
        <w:ind w:left="360"/>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Изготвянето на оценката е необходима за да се спазят всички нормативни изисквания и да се защити здравето на хората. Това ще гарантира, че водата е безопасна не само на входа на сградата, но и в точката на потребление.</w:t>
      </w:r>
    </w:p>
    <w:p w:rsidR="009403BC" w:rsidRPr="00ED7F3D" w:rsidRDefault="009403BC" w:rsidP="003A1C67">
      <w:pPr>
        <w:spacing w:after="0" w:line="256" w:lineRule="auto"/>
        <w:jc w:val="both"/>
        <w:rPr>
          <w:rFonts w:ascii="Times New Roman" w:eastAsia="Calibri" w:hAnsi="Times New Roman" w:cs="Times New Roman"/>
          <w:sz w:val="24"/>
          <w:szCs w:val="24"/>
          <w:lang w:val="bg-BG"/>
        </w:rPr>
      </w:pPr>
    </w:p>
    <w:p w:rsidR="009403BC" w:rsidRPr="00ED7F3D" w:rsidRDefault="009403BC" w:rsidP="009403BC">
      <w:pPr>
        <w:spacing w:after="0" w:line="256" w:lineRule="auto"/>
        <w:ind w:firstLine="708"/>
        <w:jc w:val="both"/>
        <w:rPr>
          <w:rFonts w:ascii="Times New Roman" w:eastAsia="Times New Roman" w:hAnsi="Times New Roman" w:cs="Times New Roman"/>
          <w:sz w:val="24"/>
          <w:szCs w:val="24"/>
          <w:shd w:val="clear" w:color="auto" w:fill="FEFEFE"/>
          <w:lang w:val="bg-BG" w:eastAsia="bg-BG"/>
        </w:rPr>
      </w:pPr>
      <w:r w:rsidRPr="00ED7F3D">
        <w:rPr>
          <w:rFonts w:ascii="Times New Roman" w:eastAsia="Times New Roman" w:hAnsi="Times New Roman" w:cs="Times New Roman"/>
          <w:b/>
          <w:sz w:val="24"/>
          <w:szCs w:val="24"/>
          <w:shd w:val="clear" w:color="auto" w:fill="FEFEFE"/>
          <w:lang w:val="bg-BG" w:eastAsia="bg-BG"/>
        </w:rPr>
        <w:t>ОЦЕНКАТА НА РИСКА</w:t>
      </w:r>
      <w:r w:rsidRPr="00ED7F3D">
        <w:rPr>
          <w:rFonts w:ascii="Times New Roman" w:eastAsia="Times New Roman" w:hAnsi="Times New Roman" w:cs="Times New Roman"/>
          <w:sz w:val="24"/>
          <w:szCs w:val="24"/>
          <w:shd w:val="clear" w:color="auto" w:fill="FEFEFE"/>
          <w:lang w:val="bg-BG" w:eastAsia="bg-BG"/>
        </w:rPr>
        <w:t xml:space="preserve"> се извършва в съответствие с </w:t>
      </w:r>
      <w:r w:rsidRPr="00ED7F3D">
        <w:rPr>
          <w:rFonts w:ascii="Times New Roman" w:eastAsia="Times New Roman" w:hAnsi="Times New Roman" w:cs="Times New Roman"/>
          <w:b/>
          <w:sz w:val="24"/>
          <w:szCs w:val="24"/>
          <w:shd w:val="clear" w:color="auto" w:fill="FEFEFE"/>
          <w:lang w:val="bg-BG" w:eastAsia="bg-BG"/>
        </w:rPr>
        <w:t>приложение № 1в</w:t>
      </w:r>
      <w:r w:rsidRPr="00ED7F3D">
        <w:rPr>
          <w:rFonts w:ascii="Times New Roman" w:eastAsia="Times New Roman" w:hAnsi="Times New Roman" w:cs="Times New Roman"/>
          <w:sz w:val="24"/>
          <w:szCs w:val="24"/>
          <w:shd w:val="clear" w:color="auto" w:fill="FEFEFE"/>
          <w:lang w:val="bg-BG" w:eastAsia="bg-BG"/>
        </w:rPr>
        <w:t xml:space="preserve"> от Наредба №9, преразглежда се на всеки шест години и при необходимост се актуализира. </w:t>
      </w:r>
    </w:p>
    <w:p w:rsidR="009403BC" w:rsidRPr="00ED7F3D" w:rsidRDefault="009403BC" w:rsidP="009403B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EFEFE"/>
          <w:lang w:val="bg-BG" w:eastAsia="bg-BG"/>
        </w:rPr>
      </w:pPr>
      <w:r w:rsidRPr="00ED7F3D">
        <w:rPr>
          <w:rFonts w:ascii="Times New Roman" w:eastAsia="Times New Roman" w:hAnsi="Times New Roman" w:cs="Times New Roman"/>
          <w:sz w:val="24"/>
          <w:szCs w:val="24"/>
          <w:shd w:val="clear" w:color="auto" w:fill="FEFEFE"/>
          <w:lang w:val="bg-BG" w:eastAsia="bg-BG"/>
        </w:rPr>
        <w:t>Оценката на риска за вътрешните разпределителни системи се състои от следните елементи:</w:t>
      </w:r>
    </w:p>
    <w:p w:rsidR="009403BC" w:rsidRPr="00ED7F3D" w:rsidRDefault="009403BC" w:rsidP="009403BC">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val="bg-BG" w:eastAsia="bg-BG"/>
        </w:rPr>
      </w:pPr>
      <w:r w:rsidRPr="00ED7F3D">
        <w:rPr>
          <w:rFonts w:ascii="Times New Roman" w:eastAsia="Times New Roman" w:hAnsi="Times New Roman" w:cs="Times New Roman"/>
          <w:sz w:val="24"/>
          <w:szCs w:val="24"/>
          <w:shd w:val="clear" w:color="auto" w:fill="FEFEFE"/>
          <w:lang w:val="bg-BG" w:eastAsia="bg-BG"/>
        </w:rPr>
        <w:t xml:space="preserve">1. </w:t>
      </w:r>
      <w:r w:rsidRPr="00ED7F3D">
        <w:rPr>
          <w:rFonts w:ascii="Times New Roman" w:eastAsia="Times New Roman" w:hAnsi="Times New Roman" w:cs="Times New Roman"/>
          <w:b/>
          <w:sz w:val="24"/>
          <w:szCs w:val="24"/>
          <w:shd w:val="clear" w:color="auto" w:fill="FEFEFE"/>
          <w:lang w:val="bg-BG" w:eastAsia="bg-BG"/>
        </w:rPr>
        <w:t>общ анализ на потенциалните рискове</w:t>
      </w:r>
      <w:r w:rsidRPr="00ED7F3D">
        <w:rPr>
          <w:rFonts w:ascii="Times New Roman" w:eastAsia="Times New Roman" w:hAnsi="Times New Roman" w:cs="Times New Roman"/>
          <w:sz w:val="24"/>
          <w:szCs w:val="24"/>
          <w:shd w:val="clear" w:color="auto" w:fill="FEFEFE"/>
          <w:lang w:val="bg-BG" w:eastAsia="bg-BG"/>
        </w:rPr>
        <w:t xml:space="preserve">, свързани с вътрешните разпределителни системи (ВРС) и със съответните продукти и материали, както и дали тези потенциални рискове оказват влияние върху качеството на водата на мястото, където тя изтича от крана при потребителя. </w:t>
      </w:r>
    </w:p>
    <w:p w:rsidR="009403BC" w:rsidRPr="00ED7F3D" w:rsidRDefault="009403BC" w:rsidP="009403BC">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val="bg-BG" w:eastAsia="bg-BG"/>
        </w:rPr>
      </w:pPr>
      <w:r w:rsidRPr="00ED7F3D">
        <w:rPr>
          <w:rFonts w:ascii="Times New Roman" w:eastAsia="Times New Roman" w:hAnsi="Times New Roman" w:cs="Times New Roman"/>
          <w:sz w:val="24"/>
          <w:szCs w:val="24"/>
          <w:shd w:val="clear" w:color="auto" w:fill="FEFEFE"/>
          <w:lang w:val="bg-BG" w:eastAsia="bg-BG"/>
        </w:rPr>
        <w:t xml:space="preserve">2. </w:t>
      </w:r>
      <w:r w:rsidRPr="00ED7F3D">
        <w:rPr>
          <w:rFonts w:ascii="Times New Roman" w:eastAsia="Times New Roman" w:hAnsi="Times New Roman" w:cs="Times New Roman"/>
          <w:b/>
          <w:sz w:val="24"/>
          <w:szCs w:val="24"/>
          <w:shd w:val="clear" w:color="auto" w:fill="FEFEFE"/>
          <w:lang w:val="bg-BG" w:eastAsia="bg-BG"/>
        </w:rPr>
        <w:t>общ анализ на продуктите и материалите</w:t>
      </w:r>
      <w:r w:rsidRPr="00ED7F3D">
        <w:rPr>
          <w:rFonts w:ascii="Times New Roman" w:eastAsia="Times New Roman" w:hAnsi="Times New Roman" w:cs="Times New Roman"/>
          <w:sz w:val="24"/>
          <w:szCs w:val="24"/>
          <w:shd w:val="clear" w:color="auto" w:fill="FEFEFE"/>
          <w:lang w:val="bg-BG" w:eastAsia="bg-BG"/>
        </w:rPr>
        <w:t xml:space="preserve">, от които са изградени вътрешните разпределителни системи, но без да включва подробен анализ на всяка една отделна съставка. </w:t>
      </w:r>
    </w:p>
    <w:p w:rsidR="009403BC" w:rsidRPr="00ED7F3D" w:rsidRDefault="009403BC" w:rsidP="009403BC">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val="bg-BG" w:eastAsia="bg-BG"/>
        </w:rPr>
      </w:pPr>
      <w:r w:rsidRPr="00ED7F3D">
        <w:rPr>
          <w:rFonts w:ascii="Times New Roman" w:eastAsia="Times New Roman" w:hAnsi="Times New Roman" w:cs="Times New Roman"/>
          <w:sz w:val="24"/>
          <w:szCs w:val="24"/>
          <w:shd w:val="clear" w:color="auto" w:fill="FEFEFE"/>
          <w:lang w:val="bg-BG" w:eastAsia="bg-BG"/>
        </w:rPr>
        <w:t xml:space="preserve">3. </w:t>
      </w:r>
      <w:r w:rsidRPr="00ED7F3D">
        <w:rPr>
          <w:rFonts w:ascii="Times New Roman" w:eastAsia="Times New Roman" w:hAnsi="Times New Roman" w:cs="Times New Roman"/>
          <w:b/>
          <w:sz w:val="24"/>
          <w:szCs w:val="24"/>
          <w:shd w:val="clear" w:color="auto" w:fill="FEFEFE"/>
          <w:lang w:val="bg-BG" w:eastAsia="bg-BG"/>
        </w:rPr>
        <w:t>мониторингов план</w:t>
      </w:r>
      <w:r w:rsidRPr="00ED7F3D">
        <w:rPr>
          <w:rFonts w:ascii="Times New Roman" w:eastAsia="Times New Roman" w:hAnsi="Times New Roman" w:cs="Times New Roman"/>
          <w:sz w:val="24"/>
          <w:szCs w:val="24"/>
          <w:shd w:val="clear" w:color="auto" w:fill="FEFEFE"/>
          <w:lang w:val="bg-BG" w:eastAsia="bg-BG"/>
        </w:rPr>
        <w:t xml:space="preserve"> за контрол на показателите, посочени в приложение № 1, таблица Д (</w:t>
      </w:r>
      <w:r w:rsidRPr="00ED7F3D">
        <w:rPr>
          <w:rFonts w:ascii="Times New Roman" w:eastAsia="Times New Roman" w:hAnsi="Times New Roman" w:cs="Times New Roman"/>
          <w:b/>
          <w:i/>
          <w:iCs/>
          <w:color w:val="000000"/>
          <w:sz w:val="24"/>
          <w:szCs w:val="24"/>
          <w:lang w:val="bg-BG" w:eastAsia="bg-BG"/>
        </w:rPr>
        <w:t>Legionell</w:t>
      </w:r>
      <w:r w:rsidRPr="00ED7F3D">
        <w:rPr>
          <w:rFonts w:ascii="Times New Roman" w:eastAsia="Times New Roman" w:hAnsi="Times New Roman" w:cs="Times New Roman"/>
          <w:b/>
          <w:i/>
          <w:iCs/>
          <w:color w:val="000000"/>
          <w:sz w:val="24"/>
          <w:szCs w:val="24"/>
          <w:lang w:val="en-US" w:eastAsia="bg-BG"/>
        </w:rPr>
        <w:t>a</w:t>
      </w:r>
      <w:r w:rsidRPr="00ED7F3D">
        <w:rPr>
          <w:rFonts w:ascii="Times New Roman" w:eastAsia="Times New Roman" w:hAnsi="Times New Roman" w:cs="Times New Roman"/>
          <w:b/>
          <w:i/>
          <w:color w:val="000000"/>
          <w:sz w:val="24"/>
          <w:szCs w:val="24"/>
          <w:lang w:val="bg-BG" w:eastAsia="bg-BG"/>
        </w:rPr>
        <w:t xml:space="preserve"> и Олово)</w:t>
      </w:r>
      <w:r w:rsidRPr="00ED7F3D">
        <w:rPr>
          <w:rFonts w:ascii="Times New Roman" w:eastAsia="Times New Roman" w:hAnsi="Times New Roman" w:cs="Times New Roman"/>
          <w:sz w:val="24"/>
          <w:szCs w:val="24"/>
          <w:shd w:val="clear" w:color="auto" w:fill="FEFEFE"/>
          <w:lang w:val="bg-BG" w:eastAsia="bg-BG"/>
        </w:rPr>
        <w:t>, за приоритетните обекти.</w:t>
      </w:r>
      <w:r w:rsidR="003A1C67" w:rsidRPr="00ED7F3D">
        <w:rPr>
          <w:rFonts w:ascii="Times New Roman" w:eastAsia="Times New Roman" w:hAnsi="Times New Roman" w:cs="Times New Roman"/>
          <w:sz w:val="24"/>
          <w:szCs w:val="24"/>
          <w:shd w:val="clear" w:color="auto" w:fill="FEFEFE"/>
          <w:lang w:val="bg-BG" w:eastAsia="bg-BG"/>
        </w:rPr>
        <w:t xml:space="preserve"> </w:t>
      </w:r>
      <w:r w:rsidR="003A1C67" w:rsidRPr="00ED7F3D">
        <w:rPr>
          <w:rFonts w:ascii="Times New Roman" w:eastAsia="Times New Roman" w:hAnsi="Times New Roman" w:cs="Times New Roman"/>
          <w:color w:val="000000"/>
          <w:sz w:val="24"/>
          <w:szCs w:val="24"/>
          <w:lang w:val="bg-BG" w:eastAsia="bg-BG"/>
        </w:rPr>
        <w:t>Изследванията се извършват в акредитирани лаборатории</w:t>
      </w:r>
    </w:p>
    <w:p w:rsidR="009403BC" w:rsidRPr="00ED7F3D" w:rsidRDefault="009403BC" w:rsidP="009403BC">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highlight w:val="white"/>
          <w:shd w:val="clear" w:color="auto" w:fill="FEFEFE"/>
          <w:lang w:val="bg-BG" w:eastAsia="bg-BG"/>
        </w:rPr>
      </w:pPr>
    </w:p>
    <w:p w:rsidR="009403BC" w:rsidRPr="00ED7F3D" w:rsidRDefault="009403BC" w:rsidP="009403BC">
      <w:pPr>
        <w:widowControl w:val="0"/>
        <w:autoSpaceDE w:val="0"/>
        <w:autoSpaceDN w:val="0"/>
        <w:adjustRightInd w:val="0"/>
        <w:spacing w:after="0" w:line="240" w:lineRule="auto"/>
        <w:ind w:firstLine="850"/>
        <w:jc w:val="both"/>
        <w:rPr>
          <w:rFonts w:ascii="Times New Roman" w:eastAsia="Times New Roman" w:hAnsi="Times New Roman" w:cs="Times New Roman"/>
          <w:sz w:val="24"/>
          <w:szCs w:val="24"/>
          <w:shd w:val="clear" w:color="auto" w:fill="FEFEFE"/>
          <w:lang w:val="bg-BG" w:eastAsia="bg-BG"/>
        </w:rPr>
      </w:pPr>
      <w:r w:rsidRPr="00ED7F3D">
        <w:rPr>
          <w:rFonts w:ascii="Times New Roman" w:eastAsia="Times New Roman" w:hAnsi="Times New Roman" w:cs="Times New Roman"/>
          <w:sz w:val="24"/>
          <w:szCs w:val="24"/>
          <w:shd w:val="clear" w:color="auto" w:fill="FEFEFE"/>
          <w:lang w:val="bg-BG" w:eastAsia="bg-BG"/>
        </w:rPr>
        <w:t>6. Собствениците/ползвателите/управителите на приоритетните обекти задължително прилагат превантивните мерки, посочени в Методично указание №3 от 25.11.2003 г. на МЗ за борба с легионелозите, с оглед на предотвратяването и елиминирането на възникването на евентуални епидемични взривове от Legionella.</w:t>
      </w:r>
    </w:p>
    <w:p w:rsidR="009403BC" w:rsidRPr="00ED7F3D" w:rsidRDefault="009403BC" w:rsidP="009403BC">
      <w:pPr>
        <w:spacing w:after="0" w:line="256" w:lineRule="auto"/>
        <w:ind w:firstLine="850"/>
        <w:jc w:val="both"/>
        <w:rPr>
          <w:rFonts w:ascii="Times New Roman" w:eastAsia="Calibri" w:hAnsi="Times New Roman" w:cs="Times New Roman"/>
          <w:b/>
          <w:color w:val="000000"/>
          <w:sz w:val="24"/>
          <w:szCs w:val="24"/>
          <w:lang w:val="bg-BG"/>
        </w:rPr>
      </w:pPr>
    </w:p>
    <w:p w:rsidR="00350CE6" w:rsidRPr="00ED7F3D" w:rsidRDefault="003A1C67" w:rsidP="00350CE6">
      <w:pPr>
        <w:shd w:val="clear" w:color="auto" w:fill="FFFFFF"/>
        <w:spacing w:after="0" w:line="240" w:lineRule="auto"/>
        <w:ind w:firstLine="720"/>
        <w:jc w:val="both"/>
        <w:rPr>
          <w:rStyle w:val="Hyperlink"/>
          <w:rFonts w:ascii="Times New Roman" w:hAnsi="Times New Roman" w:cs="Times New Roman"/>
          <w:sz w:val="24"/>
          <w:szCs w:val="24"/>
          <w:u w:val="none"/>
          <w:shd w:val="clear" w:color="auto" w:fill="FFFFFF"/>
          <w:lang w:val="bg-BG"/>
        </w:rPr>
      </w:pPr>
      <w:r w:rsidRPr="00ED7F3D">
        <w:rPr>
          <w:rFonts w:ascii="Times New Roman" w:hAnsi="Times New Roman" w:cs="Times New Roman"/>
          <w:color w:val="000000"/>
          <w:sz w:val="24"/>
          <w:szCs w:val="24"/>
          <w:lang w:val="bg-BG"/>
        </w:rPr>
        <w:t>За целите на оценката на риска, собствениците/ползвателите/управители на цитираните обекти, могат да използват данни от мониторинга, извършван от ,,ВиК‘‘ ООД Враца и от мониторинга, извършван от РЗИ Враца за предходни години.</w:t>
      </w:r>
      <w:r w:rsidR="006E37ED" w:rsidRPr="00ED7F3D">
        <w:rPr>
          <w:rFonts w:ascii="Times New Roman" w:hAnsi="Times New Roman" w:cs="Times New Roman"/>
          <w:color w:val="000000"/>
          <w:sz w:val="24"/>
          <w:szCs w:val="24"/>
          <w:lang w:val="bg-BG"/>
        </w:rPr>
        <w:t xml:space="preserve"> Данните са налични</w:t>
      </w:r>
      <w:r w:rsidR="006E37ED" w:rsidRPr="00ED7F3D">
        <w:rPr>
          <w:rFonts w:ascii="Times New Roman" w:hAnsi="Times New Roman" w:cs="Times New Roman"/>
          <w:color w:val="5B9BD5" w:themeColor="accent1"/>
          <w:sz w:val="24"/>
          <w:szCs w:val="24"/>
          <w:lang w:val="bg-BG"/>
        </w:rPr>
        <w:t xml:space="preserve"> </w:t>
      </w:r>
      <w:hyperlink r:id="rId5" w:history="1">
        <w:r w:rsidR="00EF07C2" w:rsidRPr="00ED7F3D">
          <w:rPr>
            <w:rStyle w:val="Hyperlink"/>
            <w:rFonts w:ascii="Times New Roman" w:hAnsi="Times New Roman" w:cs="Times New Roman"/>
            <w:sz w:val="24"/>
            <w:szCs w:val="24"/>
            <w:shd w:val="clear" w:color="auto" w:fill="FFFFFF"/>
            <w:lang w:val="bg-BG"/>
          </w:rPr>
          <w:t>https://www.rzi-vratsa.com</w:t>
        </w:r>
      </w:hyperlink>
      <w:r w:rsidR="00EF07C2" w:rsidRPr="00ED7F3D">
        <w:rPr>
          <w:rFonts w:ascii="Times New Roman" w:hAnsi="Times New Roman" w:cs="Times New Roman"/>
          <w:sz w:val="24"/>
          <w:szCs w:val="24"/>
          <w:shd w:val="clear" w:color="auto" w:fill="FFFFFF"/>
          <w:lang w:val="bg-BG"/>
        </w:rPr>
        <w:t xml:space="preserve"> </w:t>
      </w:r>
      <w:r w:rsidR="00350CE6" w:rsidRPr="00ED7F3D">
        <w:rPr>
          <w:rFonts w:ascii="Times New Roman" w:hAnsi="Times New Roman" w:cs="Times New Roman"/>
          <w:sz w:val="24"/>
          <w:szCs w:val="24"/>
          <w:shd w:val="clear" w:color="auto" w:fill="FFFFFF"/>
          <w:lang w:val="bg-BG"/>
        </w:rPr>
        <w:t xml:space="preserve"> </w:t>
      </w:r>
      <w:r w:rsidR="006E37ED" w:rsidRPr="00ED7F3D">
        <w:rPr>
          <w:rStyle w:val="Hyperlink"/>
          <w:rFonts w:ascii="Times New Roman" w:hAnsi="Times New Roman" w:cs="Times New Roman"/>
          <w:sz w:val="24"/>
          <w:szCs w:val="24"/>
          <w:u w:val="none"/>
          <w:shd w:val="clear" w:color="auto" w:fill="FFFFFF"/>
          <w:lang w:val="bg-BG"/>
        </w:rPr>
        <w:t xml:space="preserve">и </w:t>
      </w:r>
    </w:p>
    <w:p w:rsidR="003A1C67" w:rsidRPr="00ED7F3D" w:rsidRDefault="00CE1183" w:rsidP="00350CE6">
      <w:pPr>
        <w:shd w:val="clear" w:color="auto" w:fill="FFFFFF"/>
        <w:spacing w:after="0" w:line="240" w:lineRule="auto"/>
        <w:jc w:val="both"/>
        <w:rPr>
          <w:rStyle w:val="Hyperlink"/>
          <w:rFonts w:ascii="Times New Roman" w:hAnsi="Times New Roman" w:cs="Times New Roman"/>
          <w:color w:val="auto"/>
          <w:sz w:val="24"/>
          <w:szCs w:val="24"/>
          <w:u w:val="none"/>
          <w:shd w:val="clear" w:color="auto" w:fill="FFFFFF"/>
          <w:lang w:val="bg-BG"/>
        </w:rPr>
      </w:pPr>
      <w:hyperlink r:id="rId6" w:history="1">
        <w:r w:rsidR="0079074D" w:rsidRPr="00ED7F3D">
          <w:rPr>
            <w:rStyle w:val="Hyperlink"/>
            <w:rFonts w:ascii="Times New Roman" w:hAnsi="Times New Roman" w:cs="Times New Roman"/>
            <w:sz w:val="24"/>
            <w:szCs w:val="24"/>
            <w:shd w:val="clear" w:color="auto" w:fill="FFFFFF"/>
            <w:lang w:val="bg-BG"/>
          </w:rPr>
          <w:t>https://vik-vratza.eu/page?info=Informacyazaobshtvenosta</w:t>
        </w:r>
      </w:hyperlink>
      <w:r w:rsidR="006E37ED" w:rsidRPr="00ED7F3D">
        <w:rPr>
          <w:rStyle w:val="Hyperlink"/>
          <w:rFonts w:ascii="Times New Roman" w:hAnsi="Times New Roman" w:cs="Times New Roman"/>
          <w:sz w:val="24"/>
          <w:szCs w:val="24"/>
          <w:shd w:val="clear" w:color="auto" w:fill="FFFFFF"/>
          <w:lang w:val="bg-BG"/>
        </w:rPr>
        <w:t xml:space="preserve"> </w:t>
      </w:r>
    </w:p>
    <w:p w:rsidR="0079074D" w:rsidRPr="00ED7F3D" w:rsidRDefault="0079074D" w:rsidP="003A1C67">
      <w:pPr>
        <w:shd w:val="clear" w:color="auto" w:fill="FFFFFF"/>
        <w:spacing w:line="276" w:lineRule="auto"/>
        <w:ind w:firstLine="360"/>
        <w:jc w:val="both"/>
        <w:rPr>
          <w:rStyle w:val="Hyperlink"/>
          <w:rFonts w:ascii="Times New Roman" w:hAnsi="Times New Roman" w:cs="Times New Roman"/>
          <w:sz w:val="24"/>
          <w:szCs w:val="24"/>
          <w:shd w:val="clear" w:color="auto" w:fill="FFFFFF"/>
          <w:lang w:val="bg-BG"/>
        </w:rPr>
      </w:pPr>
    </w:p>
    <w:p w:rsidR="00ED7F3D" w:rsidRPr="00ED7F3D" w:rsidRDefault="00ED7F3D" w:rsidP="00ED7F3D">
      <w:pPr>
        <w:spacing w:line="360" w:lineRule="auto"/>
        <w:ind w:firstLine="708"/>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lastRenderedPageBreak/>
        <w:t xml:space="preserve">При изготвянето на оценката на риска като изходни данни може да се ползва проектната документация на обекта, част „Водоснабдяване и канализация“, както и актуален технически паспорт на сградата ако има такъв. При комплекси, съставени от няколко сгради се оценя всяка сграда поотделно. Същото е валидно и за лечебните заведения, които са павилионен тип, за учебните и детски заведения с повече от една сграда. Оценката на риска се извършва на  цялата  вътрешна разпределителна система. Обръщаме внимание, че по силата на действащото законодателство "Вътрешна разпределителна система" е системата от тръбопроводи, фитинги, арматури и съоръжения, инсталирани в частта от площадковата водоразпределителна мрежа и/или сградната водопроводна инсталация, от водочерпните прибори за питейна вода при потребителите до арматурно-водомерния възел, както в обществени, така и в частни обекти. В  тази връзка оценката на риска съдържа информация и за материалите, от които са изградени всички елементи на вътрешната разпределителна система, в това число и на местата, от които изтича питейната вода. </w:t>
      </w:r>
    </w:p>
    <w:p w:rsidR="00ED7F3D" w:rsidRPr="00ED7F3D" w:rsidRDefault="00ED7F3D" w:rsidP="00ED7F3D">
      <w:pPr>
        <w:spacing w:line="360" w:lineRule="auto"/>
        <w:ind w:firstLine="708"/>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За да се направи оценка на риска, свързана с  вътрешната разпределителна система се подготвя цялостен план за безопасност на водите в сградата. Основните стъпките в разработването и прилагането на плана са следните:</w:t>
      </w:r>
    </w:p>
    <w:p w:rsidR="00ED7F3D" w:rsidRPr="00ED7F3D" w:rsidRDefault="00ED7F3D" w:rsidP="00ED7F3D">
      <w:pPr>
        <w:spacing w:line="360" w:lineRule="auto"/>
        <w:ind w:firstLine="708"/>
        <w:jc w:val="both"/>
        <w:rPr>
          <w:rFonts w:ascii="Times New Roman" w:hAnsi="Times New Roman" w:cs="Times New Roman"/>
          <w:sz w:val="24"/>
          <w:szCs w:val="24"/>
          <w:lang w:val="bg-BG"/>
        </w:rPr>
      </w:pPr>
      <w:r w:rsidRPr="00ED7F3D">
        <w:rPr>
          <w:rFonts w:ascii="Times New Roman" w:hAnsi="Times New Roman" w:cs="Times New Roman"/>
          <w:b/>
          <w:sz w:val="24"/>
          <w:szCs w:val="24"/>
          <w:u w:val="single"/>
          <w:lang w:val="bg-BG"/>
        </w:rPr>
        <w:t>1. Създаване на екип</w:t>
      </w:r>
      <w:r w:rsidRPr="00ED7F3D">
        <w:rPr>
          <w:rFonts w:ascii="Times New Roman" w:hAnsi="Times New Roman" w:cs="Times New Roman"/>
          <w:sz w:val="24"/>
          <w:szCs w:val="24"/>
          <w:lang w:val="bg-BG"/>
        </w:rPr>
        <w:t xml:space="preserve">. При общинските детски, учебни и лечебни заведения екипът  е добре да бъде сформиран от експерти от различни професионални направления, работещи в дирекциите по устройство, планиране и строителство, образование, здравеопазване и социални дейности на съответната община и представител на оценяваните обекти. В лечебните заведения това е екипът за контрол на инфекциите, подпомаган от технически лица към съответното лечебно заведение и/или от съответните общини, в случаите когато лечебното заведение е с общинско участие, независимо от неговия процент на дялово разпределение. При местата за настаняване в екипът се включват представители на обекта и външни експерти ако собствениците/управителите/ползвателите преценят, че това е необходимо. </w:t>
      </w:r>
    </w:p>
    <w:p w:rsidR="00ED7F3D" w:rsidRPr="00ED7F3D" w:rsidRDefault="00ED7F3D" w:rsidP="00ED7F3D">
      <w:pPr>
        <w:spacing w:line="360" w:lineRule="auto"/>
        <w:ind w:firstLine="708"/>
        <w:jc w:val="both"/>
        <w:rPr>
          <w:rFonts w:ascii="Times New Roman" w:hAnsi="Times New Roman" w:cs="Times New Roman"/>
          <w:sz w:val="24"/>
          <w:szCs w:val="24"/>
          <w:lang w:val="bg-BG"/>
        </w:rPr>
      </w:pPr>
      <w:r w:rsidRPr="00ED7F3D">
        <w:rPr>
          <w:rFonts w:ascii="Times New Roman" w:hAnsi="Times New Roman" w:cs="Times New Roman"/>
          <w:b/>
          <w:sz w:val="24"/>
          <w:szCs w:val="24"/>
          <w:u w:val="single"/>
          <w:lang w:val="bg-BG"/>
        </w:rPr>
        <w:t>2. Описание на водоснабдяването</w:t>
      </w:r>
      <w:r w:rsidRPr="00ED7F3D">
        <w:rPr>
          <w:rFonts w:ascii="Times New Roman" w:hAnsi="Times New Roman" w:cs="Times New Roman"/>
          <w:sz w:val="24"/>
          <w:szCs w:val="24"/>
          <w:lang w:val="bg-BG"/>
        </w:rPr>
        <w:t xml:space="preserve">-централно, самостоятелно-питейно битово водоснабдяване и/или смесено. Подробно се описва всеки елемент от водоснабдяването, вкл. системите за пречистване и обеззаразяване, санитарно-охранителни зони и т.н. Посочват се и: № на разрешението за водовземане от съответната Басейнова дирекция, номера на Заповедта за учредяване на санитарно-охранителна зона, № на документа, с които елементите на самостоятелното-питейно-битово водоснабдяване са въведени в експлоатация по реда на Закона за устройство на територията, както и №, под който </w:t>
      </w:r>
      <w:r w:rsidRPr="00ED7F3D">
        <w:rPr>
          <w:rFonts w:ascii="Times New Roman" w:hAnsi="Times New Roman" w:cs="Times New Roman"/>
          <w:sz w:val="24"/>
          <w:szCs w:val="24"/>
          <w:lang w:val="bg-BG"/>
        </w:rPr>
        <w:lastRenderedPageBreak/>
        <w:t>водовземното съоръжение и водоснабдителната система към него са вписана в публичния регистър на обектите с обществено предназначение, поддържан от РЗИ.</w:t>
      </w:r>
    </w:p>
    <w:p w:rsidR="00ED7F3D" w:rsidRPr="00ED7F3D" w:rsidRDefault="00ED7F3D" w:rsidP="00ED7F3D">
      <w:pPr>
        <w:spacing w:line="360" w:lineRule="auto"/>
        <w:ind w:firstLine="708"/>
        <w:jc w:val="both"/>
        <w:rPr>
          <w:rFonts w:ascii="Times New Roman" w:hAnsi="Times New Roman" w:cs="Times New Roman"/>
          <w:sz w:val="24"/>
          <w:szCs w:val="24"/>
          <w:lang w:val="bg-BG"/>
        </w:rPr>
      </w:pPr>
      <w:r w:rsidRPr="00ED7F3D">
        <w:rPr>
          <w:rFonts w:ascii="Times New Roman" w:hAnsi="Times New Roman" w:cs="Times New Roman"/>
          <w:i/>
          <w:sz w:val="24"/>
          <w:szCs w:val="24"/>
          <w:u w:val="single"/>
          <w:lang w:val="bg-BG"/>
        </w:rPr>
        <w:t>2.1.Описание на водоразпределителната система.</w:t>
      </w:r>
      <w:r w:rsidRPr="00ED7F3D">
        <w:rPr>
          <w:rFonts w:ascii="Times New Roman" w:hAnsi="Times New Roman" w:cs="Times New Roman"/>
          <w:sz w:val="24"/>
          <w:szCs w:val="24"/>
          <w:lang w:val="bg-BG"/>
        </w:rPr>
        <w:t xml:space="preserve"> Първата стъпка на екипа е да събере наличната информация за проектирането и експлоатацията на водоразпределителната система в сградата. Това трябва да бъде описано в цялостен план, като се започне с естеството и качеството на водата, доставяна в сградата до местата за ползване (крана) от обитателите, ползвателите и посетителите на сградата. Планът следва да документира всички компоненти на сградната инсталация, включително и наличието на допълнително пречистване, ако има такова, на входните точки  и на точките на използване, разпределителните системи (напр. топла вода, студена вода), местата където водата се използва (напр. плувни басейни, охладителни кули, вани) и т.н.</w:t>
      </w:r>
    </w:p>
    <w:p w:rsidR="00ED7F3D" w:rsidRPr="00ED7F3D" w:rsidRDefault="00ED7F3D" w:rsidP="00ED7F3D">
      <w:pPr>
        <w:spacing w:line="360" w:lineRule="auto"/>
        <w:ind w:firstLine="708"/>
        <w:jc w:val="both"/>
        <w:rPr>
          <w:rFonts w:ascii="Times New Roman" w:hAnsi="Times New Roman" w:cs="Times New Roman"/>
          <w:sz w:val="24"/>
          <w:szCs w:val="24"/>
          <w:lang w:val="bg-BG"/>
        </w:rPr>
      </w:pPr>
      <w:r w:rsidRPr="00ED7F3D">
        <w:rPr>
          <w:rFonts w:ascii="Times New Roman" w:hAnsi="Times New Roman" w:cs="Times New Roman"/>
          <w:i/>
          <w:sz w:val="24"/>
          <w:szCs w:val="24"/>
          <w:u w:val="single"/>
          <w:lang w:val="bg-BG"/>
        </w:rPr>
        <w:t>2. 2. Описание на функциите на водоснабдителните мрежи в сградите</w:t>
      </w:r>
      <w:r w:rsidRPr="00ED7F3D">
        <w:rPr>
          <w:rFonts w:ascii="Times New Roman" w:hAnsi="Times New Roman" w:cs="Times New Roman"/>
          <w:sz w:val="24"/>
          <w:szCs w:val="24"/>
          <w:lang w:val="bg-BG"/>
        </w:rPr>
        <w:t>. Посочва се вида на съоръженията (резервоари, хидрофори и други съоръжения, през които преминава водата, системите за топла и студена вода и т.н.) Описва се тяхното техническо състояние, характеристики, (налягане, връзки, стеснения и т.н.), елементи за защита с цел недопускане смесването на водите от двете системи и от други системи като напр: системите за доставка на вода за противопожарна безопасност, системите за стерилна вода в някои отделения на лечебните заведения  и други; наличието на устройства за регулиране на температурата, на допълнителни устройства за пречистване (омекотяване, обратна осмоза и т.н.). Задължително се описва температурата на студената и топлата вода.  При наличието на хидрофорни уредби се описва подробно характеристиката на самата уредба и начина ѝ на действие.</w:t>
      </w:r>
      <w:r w:rsidRPr="00ED7F3D">
        <w:rPr>
          <w:rFonts w:ascii="Times New Roman" w:hAnsi="Times New Roman" w:cs="Times New Roman"/>
          <w:sz w:val="24"/>
          <w:szCs w:val="24"/>
        </w:rPr>
        <w:t xml:space="preserve"> </w:t>
      </w:r>
      <w:r w:rsidRPr="00ED7F3D">
        <w:rPr>
          <w:rFonts w:ascii="Times New Roman" w:hAnsi="Times New Roman" w:cs="Times New Roman"/>
          <w:sz w:val="24"/>
          <w:szCs w:val="24"/>
          <w:lang w:val="bg-BG"/>
        </w:rPr>
        <w:t xml:space="preserve">Изготвя се схема на сградната водоснабдителна система за топла и студена вода на обекта. Ако има отделни сгради се изготвят отделни схеми за всяка сграда. </w:t>
      </w:r>
    </w:p>
    <w:p w:rsidR="00ED7F3D" w:rsidRPr="00ED7F3D" w:rsidRDefault="00ED7F3D" w:rsidP="00ED7F3D">
      <w:pPr>
        <w:spacing w:line="360" w:lineRule="auto"/>
        <w:ind w:firstLine="708"/>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Посочват се материалите, от които е изградена системата – напр.: поцинкована стомана, мед, поливинилхлорид, полиетилен, полибутилен и др. Може да се посочи и друга информация подкрепяща оценката на риска, като извършена подмяна, чести аварии, период за профилактика и др.</w:t>
      </w:r>
    </w:p>
    <w:p w:rsidR="00ED7F3D" w:rsidRPr="00ED7F3D" w:rsidRDefault="00ED7F3D" w:rsidP="00ED7F3D">
      <w:pPr>
        <w:spacing w:line="360" w:lineRule="auto"/>
        <w:ind w:firstLine="708"/>
        <w:jc w:val="both"/>
        <w:rPr>
          <w:rFonts w:ascii="Times New Roman" w:hAnsi="Times New Roman" w:cs="Times New Roman"/>
          <w:i/>
          <w:sz w:val="24"/>
          <w:szCs w:val="24"/>
          <w:u w:val="single"/>
          <w:lang w:val="bg-BG"/>
        </w:rPr>
      </w:pPr>
      <w:r w:rsidRPr="00ED7F3D">
        <w:rPr>
          <w:rFonts w:ascii="Times New Roman" w:hAnsi="Times New Roman" w:cs="Times New Roman"/>
          <w:i/>
          <w:sz w:val="24"/>
          <w:szCs w:val="24"/>
          <w:u w:val="single"/>
          <w:lang w:val="bg-BG"/>
        </w:rPr>
        <w:t>2. 3. Потребление и начини на използване на водата:</w:t>
      </w:r>
    </w:p>
    <w:p w:rsidR="00ED7F3D" w:rsidRPr="00ED7F3D" w:rsidRDefault="00ED7F3D" w:rsidP="00ED7F3D">
      <w:pPr>
        <w:spacing w:line="360" w:lineRule="auto"/>
        <w:ind w:firstLine="708"/>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 xml:space="preserve">Следва да бъдат установени всички видове потребление на вода: за питейно-битови цели; за противопожарна безопасност; за технически цели; поливане и други. Следва да се направи обследване на наличието на връзки и защитни механизми за </w:t>
      </w:r>
      <w:r w:rsidRPr="00ED7F3D">
        <w:rPr>
          <w:rFonts w:ascii="Times New Roman" w:hAnsi="Times New Roman" w:cs="Times New Roman"/>
          <w:sz w:val="24"/>
          <w:szCs w:val="24"/>
          <w:lang w:val="bg-BG"/>
        </w:rPr>
        <w:lastRenderedPageBreak/>
        <w:t>недопускане смесването на води с различно предназначение особено в сгради със смесено предназначение.</w:t>
      </w:r>
    </w:p>
    <w:p w:rsidR="00ED7F3D" w:rsidRPr="00ED7F3D" w:rsidRDefault="00ED7F3D" w:rsidP="00ED7F3D">
      <w:pPr>
        <w:spacing w:line="360" w:lineRule="auto"/>
        <w:ind w:firstLine="708"/>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Подробно описание на:</w:t>
      </w:r>
    </w:p>
    <w:p w:rsidR="00ED7F3D" w:rsidRPr="00ED7F3D" w:rsidRDefault="00ED7F3D" w:rsidP="00ED7F3D">
      <w:pPr>
        <w:tabs>
          <w:tab w:val="left" w:pos="993"/>
        </w:tabs>
        <w:spacing w:line="360" w:lineRule="auto"/>
        <w:ind w:firstLine="708"/>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w:t>
      </w:r>
      <w:r w:rsidRPr="00ED7F3D">
        <w:rPr>
          <w:rFonts w:ascii="Times New Roman" w:hAnsi="Times New Roman" w:cs="Times New Roman"/>
          <w:sz w:val="24"/>
          <w:szCs w:val="24"/>
          <w:lang w:val="bg-BG"/>
        </w:rPr>
        <w:tab/>
        <w:t>резервоари за съхранение на вода;</w:t>
      </w:r>
    </w:p>
    <w:p w:rsidR="00ED7F3D" w:rsidRPr="00ED7F3D" w:rsidRDefault="00ED7F3D" w:rsidP="00ED7F3D">
      <w:pPr>
        <w:tabs>
          <w:tab w:val="left" w:pos="993"/>
        </w:tabs>
        <w:spacing w:line="360" w:lineRule="auto"/>
        <w:ind w:firstLine="708"/>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w:t>
      </w:r>
      <w:r w:rsidRPr="00ED7F3D">
        <w:rPr>
          <w:rFonts w:ascii="Times New Roman" w:hAnsi="Times New Roman" w:cs="Times New Roman"/>
          <w:sz w:val="24"/>
          <w:szCs w:val="24"/>
          <w:lang w:val="bg-BG"/>
        </w:rPr>
        <w:tab/>
        <w:t>точки на доставка, включително приспособления и връзки към оборудване (напр. съдомиялни машини, перални машини, медицинско оборудване) и местата за използване на водата (напр. охладителни кули, плувни басейни, чешми);</w:t>
      </w:r>
    </w:p>
    <w:p w:rsidR="00ED7F3D" w:rsidRPr="00ED7F3D" w:rsidRDefault="00ED7F3D" w:rsidP="00ED7F3D">
      <w:pPr>
        <w:tabs>
          <w:tab w:val="left" w:pos="993"/>
        </w:tabs>
        <w:spacing w:line="360" w:lineRule="auto"/>
        <w:ind w:firstLine="708"/>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w:t>
      </w:r>
      <w:r w:rsidRPr="00ED7F3D">
        <w:rPr>
          <w:rFonts w:ascii="Times New Roman" w:hAnsi="Times New Roman" w:cs="Times New Roman"/>
          <w:sz w:val="24"/>
          <w:szCs w:val="24"/>
          <w:lang w:val="bg-BG"/>
        </w:rPr>
        <w:tab/>
        <w:t>непреднамерени връзки между системите за питейна вода и системите за непитейна вода (вода с по-ниско или по-високо качество);</w:t>
      </w:r>
    </w:p>
    <w:p w:rsidR="00ED7F3D" w:rsidRPr="00ED7F3D" w:rsidRDefault="00ED7F3D" w:rsidP="00ED7F3D">
      <w:pPr>
        <w:tabs>
          <w:tab w:val="left" w:pos="993"/>
        </w:tabs>
        <w:spacing w:line="360" w:lineRule="auto"/>
        <w:ind w:firstLine="708"/>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w:t>
      </w:r>
      <w:r w:rsidRPr="00ED7F3D">
        <w:rPr>
          <w:rFonts w:ascii="Times New Roman" w:hAnsi="Times New Roman" w:cs="Times New Roman"/>
          <w:sz w:val="24"/>
          <w:szCs w:val="24"/>
          <w:lang w:val="bg-BG"/>
        </w:rPr>
        <w:tab/>
        <w:t>инсталиране на системи за предотвратяване на обратния поток между системите за питейна вода и системите за непитейна вода (напр. противопожарни системи) и устройствата за използване на вода;</w:t>
      </w:r>
    </w:p>
    <w:p w:rsidR="00ED7F3D" w:rsidRPr="00ED7F3D" w:rsidRDefault="00ED7F3D" w:rsidP="00ED7F3D">
      <w:pPr>
        <w:tabs>
          <w:tab w:val="left" w:pos="993"/>
        </w:tabs>
        <w:spacing w:line="360" w:lineRule="auto"/>
        <w:ind w:firstLine="708"/>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w:t>
      </w:r>
      <w:r w:rsidRPr="00ED7F3D">
        <w:rPr>
          <w:rFonts w:ascii="Times New Roman" w:hAnsi="Times New Roman" w:cs="Times New Roman"/>
          <w:sz w:val="24"/>
          <w:szCs w:val="24"/>
          <w:lang w:val="bg-BG"/>
        </w:rPr>
        <w:tab/>
        <w:t>физическо разделяне на системите за студена и топла вода и разделяне на системите за питейна вода и системите за непитейна вода;</w:t>
      </w:r>
    </w:p>
    <w:p w:rsidR="00ED7F3D" w:rsidRPr="00ED7F3D" w:rsidRDefault="00ED7F3D" w:rsidP="00ED7F3D">
      <w:pPr>
        <w:tabs>
          <w:tab w:val="left" w:pos="993"/>
        </w:tabs>
        <w:spacing w:line="360" w:lineRule="auto"/>
        <w:ind w:firstLine="708"/>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w:t>
      </w:r>
      <w:r w:rsidRPr="00ED7F3D">
        <w:rPr>
          <w:rFonts w:ascii="Times New Roman" w:hAnsi="Times New Roman" w:cs="Times New Roman"/>
          <w:sz w:val="24"/>
          <w:szCs w:val="24"/>
          <w:lang w:val="bg-BG"/>
        </w:rPr>
        <w:tab/>
        <w:t>маркиране и идентификация на тръбопроводите;</w:t>
      </w:r>
    </w:p>
    <w:p w:rsidR="00ED7F3D" w:rsidRPr="00ED7F3D" w:rsidRDefault="00ED7F3D" w:rsidP="00ED7F3D">
      <w:pPr>
        <w:tabs>
          <w:tab w:val="left" w:pos="993"/>
        </w:tabs>
        <w:spacing w:line="360" w:lineRule="auto"/>
        <w:ind w:firstLine="708"/>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w:t>
      </w:r>
      <w:r w:rsidRPr="00ED7F3D">
        <w:rPr>
          <w:rFonts w:ascii="Times New Roman" w:hAnsi="Times New Roman" w:cs="Times New Roman"/>
          <w:sz w:val="24"/>
          <w:szCs w:val="24"/>
          <w:lang w:val="bg-BG"/>
        </w:rPr>
        <w:tab/>
        <w:t>топлоизолация на тръбни системи;</w:t>
      </w:r>
    </w:p>
    <w:p w:rsidR="00ED7F3D" w:rsidRPr="00ED7F3D" w:rsidRDefault="00ED7F3D" w:rsidP="00ED7F3D">
      <w:pPr>
        <w:tabs>
          <w:tab w:val="left" w:pos="993"/>
        </w:tabs>
        <w:spacing w:line="360" w:lineRule="auto"/>
        <w:ind w:firstLine="708"/>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w:t>
      </w:r>
      <w:r w:rsidRPr="00ED7F3D">
        <w:rPr>
          <w:rFonts w:ascii="Times New Roman" w:hAnsi="Times New Roman" w:cs="Times New Roman"/>
          <w:sz w:val="24"/>
          <w:szCs w:val="24"/>
          <w:lang w:val="bg-BG"/>
        </w:rPr>
        <w:tab/>
        <w:t>температури;</w:t>
      </w:r>
    </w:p>
    <w:p w:rsidR="00ED7F3D" w:rsidRPr="00ED7F3D" w:rsidRDefault="00ED7F3D" w:rsidP="00ED7F3D">
      <w:pPr>
        <w:tabs>
          <w:tab w:val="left" w:pos="993"/>
        </w:tabs>
        <w:spacing w:line="360" w:lineRule="auto"/>
        <w:ind w:firstLine="708"/>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w:t>
      </w:r>
      <w:r w:rsidRPr="00ED7F3D">
        <w:rPr>
          <w:rFonts w:ascii="Times New Roman" w:hAnsi="Times New Roman" w:cs="Times New Roman"/>
          <w:sz w:val="24"/>
          <w:szCs w:val="24"/>
          <w:lang w:val="bg-BG"/>
        </w:rPr>
        <w:tab/>
        <w:t>антисифонни системи или клапани;</w:t>
      </w:r>
    </w:p>
    <w:p w:rsidR="00ED7F3D" w:rsidRPr="00ED7F3D" w:rsidRDefault="00ED7F3D" w:rsidP="00ED7F3D">
      <w:pPr>
        <w:tabs>
          <w:tab w:val="left" w:pos="993"/>
        </w:tabs>
        <w:spacing w:line="360" w:lineRule="auto"/>
        <w:ind w:firstLine="708"/>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w:t>
      </w:r>
      <w:r w:rsidRPr="00ED7F3D">
        <w:rPr>
          <w:rFonts w:ascii="Times New Roman" w:hAnsi="Times New Roman" w:cs="Times New Roman"/>
          <w:sz w:val="24"/>
          <w:szCs w:val="24"/>
          <w:lang w:val="bg-BG"/>
        </w:rPr>
        <w:tab/>
        <w:t>разклонителни тръби и колена;</w:t>
      </w:r>
    </w:p>
    <w:p w:rsidR="00ED7F3D" w:rsidRPr="00ED7F3D" w:rsidRDefault="00ED7F3D" w:rsidP="00ED7F3D">
      <w:pPr>
        <w:tabs>
          <w:tab w:val="left" w:pos="993"/>
        </w:tabs>
        <w:spacing w:line="360" w:lineRule="auto"/>
        <w:ind w:firstLine="708"/>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w:t>
      </w:r>
      <w:r w:rsidRPr="00ED7F3D">
        <w:rPr>
          <w:rFonts w:ascii="Times New Roman" w:hAnsi="Times New Roman" w:cs="Times New Roman"/>
          <w:sz w:val="24"/>
          <w:szCs w:val="24"/>
          <w:lang w:val="bg-BG"/>
        </w:rPr>
        <w:tab/>
        <w:t>райони с потенциал за периодична или сезонна употреба;</w:t>
      </w:r>
    </w:p>
    <w:p w:rsidR="00ED7F3D" w:rsidRPr="00ED7F3D" w:rsidRDefault="00ED7F3D" w:rsidP="00ED7F3D">
      <w:pPr>
        <w:tabs>
          <w:tab w:val="left" w:pos="993"/>
        </w:tabs>
        <w:spacing w:line="360" w:lineRule="auto"/>
        <w:ind w:firstLine="708"/>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w:t>
      </w:r>
      <w:r w:rsidRPr="00ED7F3D">
        <w:rPr>
          <w:rFonts w:ascii="Times New Roman" w:hAnsi="Times New Roman" w:cs="Times New Roman"/>
          <w:sz w:val="24"/>
          <w:szCs w:val="24"/>
          <w:lang w:val="bg-BG"/>
        </w:rPr>
        <w:tab/>
        <w:t>материали, използвани в тръби и други компоненти, включително съответствие с установените нормативни изисквания за материали, използвани в контакт с питейна вода;</w:t>
      </w:r>
    </w:p>
    <w:p w:rsidR="00ED7F3D" w:rsidRPr="00ED7F3D" w:rsidRDefault="00ED7F3D" w:rsidP="00ED7F3D">
      <w:pPr>
        <w:tabs>
          <w:tab w:val="left" w:pos="993"/>
        </w:tabs>
        <w:spacing w:line="360" w:lineRule="auto"/>
        <w:ind w:firstLine="708"/>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w:t>
      </w:r>
      <w:r w:rsidRPr="00ED7F3D">
        <w:rPr>
          <w:rFonts w:ascii="Times New Roman" w:hAnsi="Times New Roman" w:cs="Times New Roman"/>
          <w:sz w:val="24"/>
          <w:szCs w:val="24"/>
          <w:lang w:val="bg-BG"/>
        </w:rPr>
        <w:tab/>
        <w:t>достъп за поддръжка или дезинфекция;</w:t>
      </w:r>
    </w:p>
    <w:p w:rsidR="00ED7F3D" w:rsidRPr="00ED7F3D" w:rsidRDefault="00ED7F3D" w:rsidP="00ED7F3D">
      <w:pPr>
        <w:pStyle w:val="ListParagraph"/>
        <w:numPr>
          <w:ilvl w:val="0"/>
          <w:numId w:val="7"/>
        </w:numPr>
        <w:tabs>
          <w:tab w:val="left" w:pos="993"/>
        </w:tabs>
        <w:spacing w:line="360" w:lineRule="auto"/>
        <w:jc w:val="both"/>
        <w:rPr>
          <w:rFonts w:ascii="Times New Roman" w:hAnsi="Times New Roman" w:cs="Times New Roman"/>
          <w:sz w:val="24"/>
          <w:szCs w:val="24"/>
        </w:rPr>
      </w:pPr>
      <w:r w:rsidRPr="00ED7F3D">
        <w:rPr>
          <w:rFonts w:ascii="Times New Roman" w:hAnsi="Times New Roman" w:cs="Times New Roman"/>
          <w:sz w:val="24"/>
          <w:szCs w:val="24"/>
        </w:rPr>
        <w:t>особености при работа на обекта (сезонна или целогодишна експлоатация,</w:t>
      </w:r>
    </w:p>
    <w:p w:rsidR="00ED7F3D" w:rsidRPr="00ED7F3D" w:rsidRDefault="00ED7F3D" w:rsidP="00ED7F3D">
      <w:pPr>
        <w:tabs>
          <w:tab w:val="left" w:pos="993"/>
        </w:tabs>
        <w:spacing w:line="360" w:lineRule="auto"/>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периоди/сезони на по-ниско потребление на вода в обекта или спряно потребление на вода в обекта и др.).</w:t>
      </w:r>
      <w:bookmarkStart w:id="0" w:name="_Toc202951765"/>
      <w:bookmarkStart w:id="1" w:name="_Toc202951892"/>
    </w:p>
    <w:p w:rsidR="00ED7F3D" w:rsidRPr="00ED7F3D" w:rsidRDefault="00ED7F3D" w:rsidP="00ED7F3D">
      <w:pPr>
        <w:spacing w:line="360" w:lineRule="auto"/>
        <w:jc w:val="both"/>
        <w:rPr>
          <w:rFonts w:ascii="Times New Roman" w:hAnsi="Times New Roman" w:cs="Times New Roman"/>
          <w:sz w:val="24"/>
          <w:szCs w:val="24"/>
          <w:lang w:val="bg-BG"/>
        </w:rPr>
      </w:pPr>
    </w:p>
    <w:p w:rsidR="00ED7F3D" w:rsidRPr="00ED7F3D" w:rsidRDefault="00ED7F3D" w:rsidP="00ED7F3D">
      <w:pPr>
        <w:spacing w:line="360" w:lineRule="auto"/>
        <w:ind w:firstLine="426"/>
        <w:jc w:val="both"/>
        <w:rPr>
          <w:rStyle w:val="Heading51"/>
          <w:rFonts w:ascii="Times New Roman" w:hAnsi="Times New Roman" w:cs="Times New Roman"/>
          <w:i/>
          <w:sz w:val="24"/>
          <w:szCs w:val="24"/>
        </w:rPr>
      </w:pPr>
      <w:r w:rsidRPr="00ED7F3D">
        <w:rPr>
          <w:rStyle w:val="Heading51"/>
          <w:rFonts w:ascii="Times New Roman" w:hAnsi="Times New Roman" w:cs="Times New Roman"/>
          <w:i/>
          <w:sz w:val="24"/>
          <w:szCs w:val="24"/>
        </w:rPr>
        <w:lastRenderedPageBreak/>
        <w:t xml:space="preserve">2.4. Разбиране и документиране на елементите на </w:t>
      </w:r>
      <w:bookmarkEnd w:id="0"/>
      <w:bookmarkEnd w:id="1"/>
      <w:r w:rsidRPr="00ED7F3D">
        <w:rPr>
          <w:rStyle w:val="Heading51"/>
          <w:rFonts w:ascii="Times New Roman" w:hAnsi="Times New Roman" w:cs="Times New Roman"/>
          <w:i/>
          <w:sz w:val="24"/>
          <w:szCs w:val="24"/>
        </w:rPr>
        <w:t>вътрешната разпределителна система</w:t>
      </w:r>
    </w:p>
    <w:p w:rsidR="00ED7F3D" w:rsidRPr="00ED7F3D" w:rsidRDefault="00ED7F3D" w:rsidP="00ED7F3D">
      <w:pPr>
        <w:spacing w:line="360" w:lineRule="auto"/>
        <w:ind w:firstLine="426"/>
        <w:jc w:val="both"/>
        <w:rPr>
          <w:rStyle w:val="Bodytext1"/>
          <w:rFonts w:ascii="Times New Roman" w:hAnsi="Times New Roman" w:cs="Times New Roman"/>
          <w:b/>
          <w:sz w:val="24"/>
          <w:szCs w:val="24"/>
        </w:rPr>
      </w:pPr>
      <w:r w:rsidRPr="00ED7F3D">
        <w:rPr>
          <w:rStyle w:val="Bodytext1"/>
          <w:rFonts w:ascii="Times New Roman" w:hAnsi="Times New Roman" w:cs="Times New Roman"/>
          <w:sz w:val="24"/>
          <w:szCs w:val="24"/>
        </w:rPr>
        <w:t>Ефективната оценка на потенциалните опасности и рискове за здравето изисква добро описание и документация на физическата структура на водоснабдителната система на сградата (напр. архитектура, водопроводни инсталации, материали, местоположение на инсталациите и оборудването, свързване към водопотребяващи устройства) и очакваните условия на експлоатация. Проектната документация, част „Архитектура“ и част „ВиК“ и всяка друга налична документация за инфраструктурата на сградата предоставят добра основа за описание на системата. Изготвянето на прости диаграми ще помогне за правилното описание на различните елементи на водоразпределителната система на сградата и ще спомогне за идентифицирането на опасностите, рисковете и мерките за контрол.</w:t>
      </w:r>
    </w:p>
    <w:p w:rsidR="00ED7F3D" w:rsidRPr="00ED7F3D" w:rsidRDefault="00ED7F3D" w:rsidP="00ED7F3D">
      <w:pPr>
        <w:pStyle w:val="Heading510"/>
        <w:keepNext/>
        <w:keepLines/>
        <w:spacing w:after="0" w:line="360" w:lineRule="auto"/>
        <w:ind w:firstLine="426"/>
        <w:jc w:val="both"/>
        <w:rPr>
          <w:rFonts w:ascii="Times New Roman" w:hAnsi="Times New Roman" w:cs="Times New Roman"/>
          <w:b w:val="0"/>
          <w:sz w:val="24"/>
          <w:szCs w:val="24"/>
        </w:rPr>
      </w:pPr>
      <w:r w:rsidRPr="00ED7F3D">
        <w:rPr>
          <w:rStyle w:val="Bodytext1"/>
          <w:rFonts w:ascii="Times New Roman" w:hAnsi="Times New Roman" w:cs="Times New Roman"/>
          <w:b w:val="0"/>
          <w:sz w:val="24"/>
          <w:szCs w:val="24"/>
        </w:rPr>
        <w:t xml:space="preserve">Съществуващата документация и блок-схемата трябва да бъдат проверени чрез проверка на място, за да се потвърди, че са актуални и точни. Водопроводните инсталации в сградите често са слабо картографирани и не се актуализират след ремонт или обновяване. Проверката на място трябва да следва доставката на вода от входа до всички точки на доставка или използване в сградата. </w:t>
      </w:r>
    </w:p>
    <w:p w:rsidR="00ED7F3D" w:rsidRPr="00ED7F3D" w:rsidRDefault="00ED7F3D" w:rsidP="00ED7F3D">
      <w:pPr>
        <w:pStyle w:val="Bodytext10"/>
        <w:spacing w:after="0" w:line="360" w:lineRule="auto"/>
        <w:ind w:firstLine="426"/>
        <w:jc w:val="both"/>
        <w:rPr>
          <w:rFonts w:ascii="Times New Roman" w:hAnsi="Times New Roman" w:cs="Times New Roman"/>
          <w:sz w:val="24"/>
          <w:szCs w:val="24"/>
        </w:rPr>
      </w:pPr>
      <w:r w:rsidRPr="00ED7F3D">
        <w:rPr>
          <w:rStyle w:val="Bodytext1"/>
          <w:rFonts w:ascii="Times New Roman" w:hAnsi="Times New Roman" w:cs="Times New Roman"/>
          <w:sz w:val="24"/>
          <w:szCs w:val="24"/>
        </w:rPr>
        <w:t>Елементите, които трябва да бъдат изследвани и документирани, включват:</w:t>
      </w:r>
    </w:p>
    <w:p w:rsidR="00ED7F3D" w:rsidRPr="00ED7F3D" w:rsidRDefault="00ED7F3D" w:rsidP="00ED7F3D">
      <w:pPr>
        <w:pStyle w:val="Bodytext10"/>
        <w:numPr>
          <w:ilvl w:val="0"/>
          <w:numId w:val="6"/>
        </w:numPr>
        <w:tabs>
          <w:tab w:val="left" w:pos="598"/>
        </w:tabs>
        <w:spacing w:after="0" w:line="360" w:lineRule="auto"/>
        <w:ind w:firstLine="426"/>
        <w:jc w:val="both"/>
        <w:rPr>
          <w:rFonts w:ascii="Times New Roman" w:hAnsi="Times New Roman" w:cs="Times New Roman"/>
          <w:sz w:val="24"/>
          <w:szCs w:val="24"/>
        </w:rPr>
      </w:pPr>
      <w:r w:rsidRPr="00ED7F3D">
        <w:rPr>
          <w:rStyle w:val="Bodytext1"/>
          <w:rFonts w:ascii="Times New Roman" w:hAnsi="Times New Roman" w:cs="Times New Roman"/>
          <w:sz w:val="24"/>
          <w:szCs w:val="24"/>
        </w:rPr>
        <w:t>точка(и) на влизане в сградата, включително евентуално третиране като</w:t>
      </w:r>
      <w:r w:rsidRPr="00ED7F3D">
        <w:rPr>
          <w:rFonts w:ascii="Times New Roman" w:hAnsi="Times New Roman" w:cs="Times New Roman"/>
          <w:sz w:val="24"/>
          <w:szCs w:val="24"/>
        </w:rPr>
        <w:t xml:space="preserve"> </w:t>
      </w:r>
      <w:r w:rsidRPr="00ED7F3D">
        <w:rPr>
          <w:rStyle w:val="Bodytext1"/>
          <w:rFonts w:ascii="Times New Roman" w:hAnsi="Times New Roman" w:cs="Times New Roman"/>
          <w:sz w:val="24"/>
          <w:szCs w:val="24"/>
        </w:rPr>
        <w:t>наличието на допълнително пречистване още на ниво вход;</w:t>
      </w:r>
    </w:p>
    <w:p w:rsidR="00ED7F3D" w:rsidRPr="00ED7F3D" w:rsidRDefault="00ED7F3D" w:rsidP="00ED7F3D">
      <w:pPr>
        <w:pStyle w:val="Bodytext10"/>
        <w:numPr>
          <w:ilvl w:val="0"/>
          <w:numId w:val="6"/>
        </w:numPr>
        <w:tabs>
          <w:tab w:val="left" w:pos="598"/>
        </w:tabs>
        <w:spacing w:after="0" w:line="360" w:lineRule="auto"/>
        <w:ind w:firstLine="426"/>
        <w:jc w:val="both"/>
        <w:rPr>
          <w:rFonts w:ascii="Times New Roman" w:hAnsi="Times New Roman" w:cs="Times New Roman"/>
          <w:sz w:val="24"/>
          <w:szCs w:val="24"/>
        </w:rPr>
      </w:pPr>
      <w:r w:rsidRPr="00ED7F3D">
        <w:rPr>
          <w:rStyle w:val="Bodytext1"/>
          <w:rFonts w:ascii="Times New Roman" w:hAnsi="Times New Roman" w:cs="Times New Roman"/>
          <w:sz w:val="24"/>
          <w:szCs w:val="24"/>
        </w:rPr>
        <w:t>възможни специфични за сградата източници на вода и свързаното с тях пречистване;</w:t>
      </w:r>
      <w:r w:rsidRPr="00ED7F3D">
        <w:rPr>
          <w:rFonts w:ascii="Times New Roman" w:hAnsi="Times New Roman" w:cs="Times New Roman"/>
          <w:sz w:val="24"/>
          <w:szCs w:val="24"/>
        </w:rPr>
        <w:t xml:space="preserve"> </w:t>
      </w:r>
    </w:p>
    <w:p w:rsidR="00ED7F3D" w:rsidRPr="00ED7F3D" w:rsidRDefault="00ED7F3D" w:rsidP="00ED7F3D">
      <w:pPr>
        <w:pStyle w:val="Bodytext10"/>
        <w:numPr>
          <w:ilvl w:val="0"/>
          <w:numId w:val="6"/>
        </w:numPr>
        <w:tabs>
          <w:tab w:val="left" w:pos="598"/>
        </w:tabs>
        <w:spacing w:after="0" w:line="360" w:lineRule="auto"/>
        <w:ind w:firstLine="426"/>
        <w:jc w:val="both"/>
        <w:rPr>
          <w:rFonts w:ascii="Times New Roman" w:hAnsi="Times New Roman" w:cs="Times New Roman"/>
          <w:sz w:val="24"/>
          <w:szCs w:val="24"/>
        </w:rPr>
      </w:pPr>
      <w:r w:rsidRPr="00ED7F3D">
        <w:rPr>
          <w:rStyle w:val="Bodytext1"/>
          <w:rFonts w:ascii="Times New Roman" w:hAnsi="Times New Roman" w:cs="Times New Roman"/>
          <w:sz w:val="24"/>
          <w:szCs w:val="24"/>
        </w:rPr>
        <w:t xml:space="preserve">водопроводни тръби, системи за съхранение и връзки между системите за питейна и непитейна </w:t>
      </w:r>
      <w:r w:rsidRPr="00ED7F3D">
        <w:rPr>
          <w:rStyle w:val="Bodytext1"/>
          <w:rFonts w:ascii="Times New Roman" w:hAnsi="Times New Roman" w:cs="Times New Roman"/>
          <w:sz w:val="24"/>
          <w:szCs w:val="24"/>
        </w:rPr>
        <w:softHyphen/>
        <w:t xml:space="preserve">вода, включително планирани връзки (напр. между системите за питейна </w:t>
      </w:r>
      <w:r w:rsidRPr="00ED7F3D">
        <w:rPr>
          <w:rStyle w:val="Bodytext1"/>
          <w:rFonts w:ascii="Times New Roman" w:hAnsi="Times New Roman" w:cs="Times New Roman"/>
          <w:sz w:val="24"/>
          <w:szCs w:val="24"/>
        </w:rPr>
        <w:softHyphen/>
        <w:t>вода и противопожарните системи) и непредвидени връзки (напр. между системите за питейна вода и канализационните системи или системите за рециклирана вода);</w:t>
      </w:r>
    </w:p>
    <w:p w:rsidR="00ED7F3D" w:rsidRPr="00ED7F3D" w:rsidRDefault="00ED7F3D" w:rsidP="00ED7F3D">
      <w:pPr>
        <w:pStyle w:val="Bodytext10"/>
        <w:numPr>
          <w:ilvl w:val="0"/>
          <w:numId w:val="6"/>
        </w:numPr>
        <w:tabs>
          <w:tab w:val="left" w:pos="598"/>
        </w:tabs>
        <w:spacing w:after="0" w:line="360" w:lineRule="auto"/>
        <w:ind w:firstLine="426"/>
        <w:jc w:val="both"/>
        <w:rPr>
          <w:rFonts w:ascii="Times New Roman" w:hAnsi="Times New Roman" w:cs="Times New Roman"/>
          <w:sz w:val="24"/>
          <w:szCs w:val="24"/>
        </w:rPr>
      </w:pPr>
      <w:r w:rsidRPr="00ED7F3D">
        <w:rPr>
          <w:rStyle w:val="Bodytext1"/>
          <w:rFonts w:ascii="Times New Roman" w:hAnsi="Times New Roman" w:cs="Times New Roman"/>
          <w:sz w:val="24"/>
          <w:szCs w:val="24"/>
        </w:rPr>
        <w:t>устройства за отопление и подаване на топла вода;</w:t>
      </w:r>
    </w:p>
    <w:p w:rsidR="00ED7F3D" w:rsidRPr="00ED7F3D" w:rsidRDefault="00ED7F3D" w:rsidP="00ED7F3D">
      <w:pPr>
        <w:pStyle w:val="Bodytext10"/>
        <w:numPr>
          <w:ilvl w:val="0"/>
          <w:numId w:val="6"/>
        </w:numPr>
        <w:tabs>
          <w:tab w:val="left" w:pos="598"/>
        </w:tabs>
        <w:spacing w:after="0" w:line="360" w:lineRule="auto"/>
        <w:ind w:firstLine="426"/>
        <w:jc w:val="both"/>
        <w:rPr>
          <w:rFonts w:ascii="Times New Roman" w:hAnsi="Times New Roman" w:cs="Times New Roman"/>
          <w:sz w:val="24"/>
          <w:szCs w:val="24"/>
        </w:rPr>
      </w:pPr>
      <w:r w:rsidRPr="00ED7F3D">
        <w:rPr>
          <w:rStyle w:val="Bodytext1"/>
          <w:rFonts w:ascii="Times New Roman" w:hAnsi="Times New Roman" w:cs="Times New Roman"/>
          <w:sz w:val="24"/>
          <w:szCs w:val="24"/>
        </w:rPr>
        <w:t>тръбни системи за топла вода;</w:t>
      </w:r>
    </w:p>
    <w:p w:rsidR="00ED7F3D" w:rsidRPr="00ED7F3D" w:rsidRDefault="00ED7F3D" w:rsidP="00ED7F3D">
      <w:pPr>
        <w:pStyle w:val="Bodytext10"/>
        <w:numPr>
          <w:ilvl w:val="0"/>
          <w:numId w:val="6"/>
        </w:numPr>
        <w:tabs>
          <w:tab w:val="left" w:pos="598"/>
        </w:tabs>
        <w:spacing w:after="0" w:line="360" w:lineRule="auto"/>
        <w:ind w:firstLine="426"/>
        <w:jc w:val="both"/>
        <w:rPr>
          <w:rStyle w:val="Bodytext1"/>
          <w:rFonts w:ascii="Times New Roman" w:hAnsi="Times New Roman" w:cs="Times New Roman"/>
          <w:sz w:val="24"/>
          <w:szCs w:val="24"/>
        </w:rPr>
      </w:pPr>
      <w:r w:rsidRPr="00ED7F3D">
        <w:rPr>
          <w:rStyle w:val="Bodytext1"/>
          <w:rFonts w:ascii="Times New Roman" w:hAnsi="Times New Roman" w:cs="Times New Roman"/>
          <w:sz w:val="24"/>
          <w:szCs w:val="24"/>
        </w:rPr>
        <w:t>съоръжения, инсталирани в точките на използване (напр. локални нагреватели на вода, съдомиялни машини, перални машини, чешми за питейна вода);</w:t>
      </w:r>
    </w:p>
    <w:p w:rsidR="00ED7F3D" w:rsidRPr="00ED7F3D" w:rsidRDefault="00ED7F3D" w:rsidP="00ED7F3D">
      <w:pPr>
        <w:pStyle w:val="Bodytext10"/>
        <w:numPr>
          <w:ilvl w:val="0"/>
          <w:numId w:val="6"/>
        </w:numPr>
        <w:tabs>
          <w:tab w:val="left" w:pos="598"/>
        </w:tabs>
        <w:spacing w:after="0" w:line="360" w:lineRule="auto"/>
        <w:ind w:firstLine="426"/>
        <w:jc w:val="both"/>
        <w:rPr>
          <w:rFonts w:ascii="Times New Roman" w:hAnsi="Times New Roman" w:cs="Times New Roman"/>
          <w:sz w:val="24"/>
          <w:szCs w:val="24"/>
        </w:rPr>
      </w:pPr>
      <w:r w:rsidRPr="00ED7F3D">
        <w:rPr>
          <w:rFonts w:ascii="Times New Roman" w:hAnsi="Times New Roman" w:cs="Times New Roman"/>
          <w:sz w:val="24"/>
          <w:szCs w:val="24"/>
        </w:rPr>
        <w:t xml:space="preserve">детайлно описание на </w:t>
      </w:r>
      <w:r w:rsidRPr="00ED7F3D">
        <w:rPr>
          <w:rStyle w:val="Bodytext1"/>
          <w:rFonts w:ascii="Times New Roman" w:eastAsia="Arial" w:hAnsi="Times New Roman" w:cs="Times New Roman"/>
          <w:b/>
          <w:bCs/>
          <w:color w:val="EBEBEB"/>
          <w:sz w:val="24"/>
          <w:szCs w:val="24"/>
        </w:rPr>
        <w:t xml:space="preserve"> </w:t>
      </w:r>
      <w:r w:rsidRPr="00ED7F3D">
        <w:rPr>
          <w:rStyle w:val="Bodytext1"/>
          <w:rFonts w:ascii="Times New Roman" w:hAnsi="Times New Roman" w:cs="Times New Roman"/>
          <w:sz w:val="24"/>
          <w:szCs w:val="24"/>
        </w:rPr>
        <w:t>системи за допълнително пречистване на водата, ако има такива.</w:t>
      </w:r>
    </w:p>
    <w:p w:rsidR="00ED7F3D" w:rsidRPr="00ED7F3D" w:rsidRDefault="00ED7F3D" w:rsidP="00ED7F3D">
      <w:pPr>
        <w:spacing w:line="360" w:lineRule="auto"/>
        <w:ind w:firstLine="426"/>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w:t>
      </w:r>
      <w:r w:rsidRPr="00ED7F3D">
        <w:rPr>
          <w:rFonts w:ascii="Times New Roman" w:hAnsi="Times New Roman" w:cs="Times New Roman"/>
          <w:sz w:val="24"/>
          <w:szCs w:val="24"/>
          <w:lang w:val="bg-BG"/>
        </w:rPr>
        <w:tab/>
        <w:t>качество и състав на доставяната вода (това трябва да бъде получено от водоснабдителното дружество и РЗИ);</w:t>
      </w:r>
    </w:p>
    <w:p w:rsidR="00ED7F3D" w:rsidRPr="00ED7F3D" w:rsidRDefault="00ED7F3D" w:rsidP="00ED7F3D">
      <w:pPr>
        <w:spacing w:line="360" w:lineRule="auto"/>
        <w:ind w:firstLine="426"/>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lastRenderedPageBreak/>
        <w:t>•</w:t>
      </w:r>
      <w:r w:rsidRPr="00ED7F3D">
        <w:rPr>
          <w:rFonts w:ascii="Times New Roman" w:hAnsi="Times New Roman" w:cs="Times New Roman"/>
          <w:sz w:val="24"/>
          <w:szCs w:val="24"/>
          <w:lang w:val="bg-BG"/>
        </w:rPr>
        <w:tab/>
        <w:t>непрекъснатост и количество на водоснабдяването;</w:t>
      </w:r>
    </w:p>
    <w:p w:rsidR="00ED7F3D" w:rsidRPr="00ED7F3D" w:rsidRDefault="00ED7F3D" w:rsidP="00ED7F3D">
      <w:pPr>
        <w:spacing w:line="360" w:lineRule="auto"/>
        <w:ind w:firstLine="426"/>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w:t>
      </w:r>
      <w:r w:rsidRPr="00ED7F3D">
        <w:rPr>
          <w:rFonts w:ascii="Times New Roman" w:hAnsi="Times New Roman" w:cs="Times New Roman"/>
          <w:sz w:val="24"/>
          <w:szCs w:val="24"/>
          <w:lang w:val="bg-BG"/>
        </w:rPr>
        <w:tab/>
        <w:t>условия за достъп до Програмата за действие;</w:t>
      </w:r>
    </w:p>
    <w:p w:rsidR="00ED7F3D" w:rsidRPr="00ED7F3D" w:rsidRDefault="00ED7F3D" w:rsidP="00ED7F3D">
      <w:pPr>
        <w:spacing w:line="360" w:lineRule="auto"/>
        <w:ind w:firstLine="426"/>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w:t>
      </w:r>
      <w:r w:rsidRPr="00ED7F3D">
        <w:rPr>
          <w:rFonts w:ascii="Times New Roman" w:hAnsi="Times New Roman" w:cs="Times New Roman"/>
          <w:sz w:val="24"/>
          <w:szCs w:val="24"/>
          <w:lang w:val="bg-BG"/>
        </w:rPr>
        <w:tab/>
        <w:t>наличие на водомер и на системи за предотвратяване на обратния поток с цел предотвратяване на замърсяването на обществената мрежа;</w:t>
      </w:r>
    </w:p>
    <w:p w:rsidR="00ED7F3D" w:rsidRPr="00ED7F3D" w:rsidRDefault="00ED7F3D" w:rsidP="00ED7F3D">
      <w:pPr>
        <w:spacing w:line="360" w:lineRule="auto"/>
        <w:ind w:firstLine="426"/>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w:t>
      </w:r>
      <w:r w:rsidRPr="00ED7F3D">
        <w:rPr>
          <w:rFonts w:ascii="Times New Roman" w:hAnsi="Times New Roman" w:cs="Times New Roman"/>
          <w:sz w:val="24"/>
          <w:szCs w:val="24"/>
          <w:lang w:val="bg-BG"/>
        </w:rPr>
        <w:tab/>
        <w:t>системи за третиране, инсталирани на входните точки след водомерния възел (напр. хлоратори, филтри, омекотители за вода, дейонизатори, активен въглен), включително избор, съхранение, употреба и контрол на химикали.</w:t>
      </w:r>
    </w:p>
    <w:p w:rsidR="00ED7F3D" w:rsidRPr="00ED7F3D" w:rsidRDefault="00ED7F3D" w:rsidP="00ED7F3D">
      <w:pPr>
        <w:spacing w:line="360" w:lineRule="auto"/>
        <w:ind w:firstLine="426"/>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При самостоятелно питейно-битово водоснабдяване допълнително се разглеждат следните въпроси:</w:t>
      </w:r>
    </w:p>
    <w:p w:rsidR="00ED7F3D" w:rsidRPr="00ED7F3D" w:rsidRDefault="00ED7F3D" w:rsidP="00ED7F3D">
      <w:pPr>
        <w:spacing w:line="360" w:lineRule="auto"/>
        <w:ind w:firstLine="426"/>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w:t>
      </w:r>
      <w:r w:rsidRPr="00ED7F3D">
        <w:rPr>
          <w:rFonts w:ascii="Times New Roman" w:hAnsi="Times New Roman" w:cs="Times New Roman"/>
          <w:sz w:val="24"/>
          <w:szCs w:val="24"/>
          <w:lang w:val="bg-BG"/>
        </w:rPr>
        <w:tab/>
        <w:t>какъв е характерът и местоположението на специфичния за сградата източник?</w:t>
      </w:r>
    </w:p>
    <w:p w:rsidR="00ED7F3D" w:rsidRPr="00ED7F3D" w:rsidRDefault="00ED7F3D" w:rsidP="00ED7F3D">
      <w:pPr>
        <w:spacing w:line="360" w:lineRule="auto"/>
        <w:ind w:firstLine="426"/>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w:t>
      </w:r>
      <w:r w:rsidRPr="00ED7F3D">
        <w:rPr>
          <w:rFonts w:ascii="Times New Roman" w:hAnsi="Times New Roman" w:cs="Times New Roman"/>
          <w:sz w:val="24"/>
          <w:szCs w:val="24"/>
          <w:lang w:val="bg-BG"/>
        </w:rPr>
        <w:tab/>
        <w:t>как да се предпазим от външно замърсяване? (учредена и поддържана СОЗ);</w:t>
      </w:r>
    </w:p>
    <w:p w:rsidR="00ED7F3D" w:rsidRPr="00ED7F3D" w:rsidRDefault="00ED7F3D" w:rsidP="00ED7F3D">
      <w:pPr>
        <w:spacing w:line="360" w:lineRule="auto"/>
        <w:ind w:firstLine="426"/>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w:t>
      </w:r>
      <w:r w:rsidRPr="00ED7F3D">
        <w:rPr>
          <w:rFonts w:ascii="Times New Roman" w:hAnsi="Times New Roman" w:cs="Times New Roman"/>
          <w:sz w:val="24"/>
          <w:szCs w:val="24"/>
          <w:lang w:val="bg-BG"/>
        </w:rPr>
        <w:tab/>
        <w:t>как се доставя в сградата и какви са възможностите за замърсяване (напр. поради неизправности в тръбопроводите, отворени резервоари за съхранение, неподходящи материали в контакт с вода)?</w:t>
      </w:r>
    </w:p>
    <w:p w:rsidR="00ED7F3D" w:rsidRPr="00ED7F3D" w:rsidRDefault="00ED7F3D" w:rsidP="00ED7F3D">
      <w:pPr>
        <w:spacing w:line="360" w:lineRule="auto"/>
        <w:ind w:firstLine="426"/>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w:t>
      </w:r>
      <w:r w:rsidRPr="00ED7F3D">
        <w:rPr>
          <w:rFonts w:ascii="Times New Roman" w:hAnsi="Times New Roman" w:cs="Times New Roman"/>
          <w:sz w:val="24"/>
          <w:szCs w:val="24"/>
          <w:lang w:val="bg-BG"/>
        </w:rPr>
        <w:tab/>
        <w:t>какъв вид пречистване и обеззаразяване  се прилага преди подаването на входните точки?</w:t>
      </w:r>
    </w:p>
    <w:p w:rsidR="00ED7F3D" w:rsidRPr="00ED7F3D" w:rsidRDefault="00ED7F3D" w:rsidP="00ED7F3D">
      <w:pPr>
        <w:spacing w:line="360" w:lineRule="auto"/>
        <w:ind w:firstLine="426"/>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При наличие на водоизточник, който не се използва за питейно-битово водоснабдяване задължително се  уточнява какви предпазни мерки се вземат, за да се гарантира, че с водата, добивана от същия не се злоупотребява или че тя не е свързана с водопроводите и вътрешната разпределителна система за  питейна вода.</w:t>
      </w:r>
    </w:p>
    <w:p w:rsidR="00ED7F3D" w:rsidRPr="00ED7F3D" w:rsidRDefault="00ED7F3D" w:rsidP="00ED7F3D">
      <w:pPr>
        <w:spacing w:line="360" w:lineRule="auto"/>
        <w:ind w:firstLine="426"/>
        <w:jc w:val="both"/>
        <w:rPr>
          <w:rFonts w:ascii="Times New Roman" w:hAnsi="Times New Roman" w:cs="Times New Roman"/>
          <w:sz w:val="24"/>
          <w:szCs w:val="24"/>
          <w:lang w:val="bg-BG"/>
        </w:rPr>
      </w:pPr>
      <w:r w:rsidRPr="00ED7F3D">
        <w:rPr>
          <w:rFonts w:ascii="Times New Roman" w:hAnsi="Times New Roman" w:cs="Times New Roman"/>
          <w:i/>
          <w:sz w:val="24"/>
          <w:szCs w:val="24"/>
          <w:u w:val="single"/>
          <w:lang w:val="bg-BG"/>
        </w:rPr>
        <w:t>2.5. Описание на системите за топла вода:</w:t>
      </w:r>
      <w:r w:rsidRPr="00ED7F3D">
        <w:rPr>
          <w:rFonts w:ascii="Times New Roman" w:hAnsi="Times New Roman" w:cs="Times New Roman"/>
          <w:sz w:val="24"/>
          <w:szCs w:val="24"/>
        </w:rPr>
        <w:t xml:space="preserve"> </w:t>
      </w:r>
      <w:r w:rsidRPr="00ED7F3D">
        <w:rPr>
          <w:rFonts w:ascii="Times New Roman" w:hAnsi="Times New Roman" w:cs="Times New Roman"/>
          <w:sz w:val="24"/>
          <w:szCs w:val="24"/>
          <w:lang w:val="bg-BG"/>
        </w:rPr>
        <w:t>Системите за топла вода следва да бъдат картографирани и каталогизирани по подобен начин на системите за студена питейна вода. Един от проблемите, свързани със системите за топла вода, е балансирането на необходимостта от поддържане на температури на водата над 50 °C, за да се сведат до минимум рисковете от Legionella, като същевременно се сведе до минимум рискът от изгаряне.</w:t>
      </w:r>
    </w:p>
    <w:p w:rsidR="00ED7F3D" w:rsidRPr="00ED7F3D" w:rsidRDefault="00ED7F3D" w:rsidP="00ED7F3D">
      <w:pPr>
        <w:spacing w:line="360" w:lineRule="auto"/>
        <w:ind w:firstLine="426"/>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Следва да бъдат определени следните компоненти и характеристики:</w:t>
      </w:r>
    </w:p>
    <w:p w:rsidR="00ED7F3D" w:rsidRPr="00ED7F3D" w:rsidRDefault="00ED7F3D" w:rsidP="00ED7F3D">
      <w:pPr>
        <w:spacing w:line="360" w:lineRule="auto"/>
        <w:ind w:firstLine="426"/>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w:t>
      </w:r>
      <w:r w:rsidRPr="00ED7F3D">
        <w:rPr>
          <w:rFonts w:ascii="Times New Roman" w:hAnsi="Times New Roman" w:cs="Times New Roman"/>
          <w:sz w:val="24"/>
          <w:szCs w:val="24"/>
          <w:lang w:val="bg-BG"/>
        </w:rPr>
        <w:tab/>
        <w:t>устройства за топла вода и съдове за съхранение;</w:t>
      </w:r>
    </w:p>
    <w:p w:rsidR="00ED7F3D" w:rsidRPr="00ED7F3D" w:rsidRDefault="00ED7F3D" w:rsidP="00ED7F3D">
      <w:pPr>
        <w:spacing w:line="360" w:lineRule="auto"/>
        <w:ind w:firstLine="426"/>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w:t>
      </w:r>
      <w:r w:rsidRPr="00ED7F3D">
        <w:rPr>
          <w:rFonts w:ascii="Times New Roman" w:hAnsi="Times New Roman" w:cs="Times New Roman"/>
          <w:sz w:val="24"/>
          <w:szCs w:val="24"/>
          <w:lang w:val="bg-BG"/>
        </w:rPr>
        <w:tab/>
        <w:t>топлоизолация на тръбни системи и физическо отделяне от студени системи;</w:t>
      </w:r>
    </w:p>
    <w:p w:rsidR="00ED7F3D" w:rsidRPr="00ED7F3D" w:rsidRDefault="00ED7F3D" w:rsidP="00ED7F3D">
      <w:pPr>
        <w:spacing w:line="360" w:lineRule="auto"/>
        <w:ind w:firstLine="426"/>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w:t>
      </w:r>
      <w:r w:rsidRPr="00ED7F3D">
        <w:rPr>
          <w:rFonts w:ascii="Times New Roman" w:hAnsi="Times New Roman" w:cs="Times New Roman"/>
          <w:sz w:val="24"/>
          <w:szCs w:val="24"/>
          <w:lang w:val="bg-BG"/>
        </w:rPr>
        <w:tab/>
        <w:t>наличието на затворени разпределителни системи (циркулационни системи);</w:t>
      </w:r>
    </w:p>
    <w:p w:rsidR="00ED7F3D" w:rsidRPr="00ED7F3D" w:rsidRDefault="00ED7F3D" w:rsidP="00ED7F3D">
      <w:pPr>
        <w:spacing w:line="360" w:lineRule="auto"/>
        <w:ind w:firstLine="426"/>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lastRenderedPageBreak/>
        <w:t>•</w:t>
      </w:r>
      <w:r w:rsidRPr="00ED7F3D">
        <w:rPr>
          <w:rFonts w:ascii="Times New Roman" w:hAnsi="Times New Roman" w:cs="Times New Roman"/>
          <w:sz w:val="24"/>
          <w:szCs w:val="24"/>
          <w:lang w:val="bg-BG"/>
        </w:rPr>
        <w:tab/>
        <w:t>температури в цялата система, включително в най-отдалечените точки и, в случай на системи със затворен цикъл, в точката на връщане към нагревателните устройства;</w:t>
      </w:r>
    </w:p>
    <w:p w:rsidR="00ED7F3D" w:rsidRPr="00ED7F3D" w:rsidRDefault="00ED7F3D" w:rsidP="00ED7F3D">
      <w:pPr>
        <w:spacing w:line="360" w:lineRule="auto"/>
        <w:ind w:firstLine="426"/>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w:t>
      </w:r>
      <w:r w:rsidRPr="00ED7F3D">
        <w:rPr>
          <w:rFonts w:ascii="Times New Roman" w:hAnsi="Times New Roman" w:cs="Times New Roman"/>
          <w:sz w:val="24"/>
          <w:szCs w:val="24"/>
          <w:lang w:val="bg-BG"/>
        </w:rPr>
        <w:tab/>
        <w:t>инсталиране на устройства за контрол на температурата с цел намаляване на риска от изгаряне (напр. термостатични смесителни клапани) и разстоянието от тези устройства до входната точка;</w:t>
      </w:r>
    </w:p>
    <w:p w:rsidR="00ED7F3D" w:rsidRPr="00ED7F3D" w:rsidRDefault="00ED7F3D" w:rsidP="00ED7F3D">
      <w:pPr>
        <w:spacing w:line="360" w:lineRule="auto"/>
        <w:ind w:firstLine="426"/>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w:t>
      </w:r>
      <w:r w:rsidRPr="00ED7F3D">
        <w:rPr>
          <w:rFonts w:ascii="Times New Roman" w:hAnsi="Times New Roman" w:cs="Times New Roman"/>
          <w:sz w:val="24"/>
          <w:szCs w:val="24"/>
          <w:lang w:val="bg-BG"/>
        </w:rPr>
        <w:tab/>
        <w:t>дължина и брой на разклонителните тръби и колена;</w:t>
      </w:r>
    </w:p>
    <w:p w:rsidR="00ED7F3D" w:rsidRPr="00ED7F3D" w:rsidRDefault="00ED7F3D" w:rsidP="00ED7F3D">
      <w:pPr>
        <w:spacing w:line="360" w:lineRule="auto"/>
        <w:ind w:firstLine="426"/>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w:t>
      </w:r>
      <w:r w:rsidRPr="00ED7F3D">
        <w:rPr>
          <w:rFonts w:ascii="Times New Roman" w:hAnsi="Times New Roman" w:cs="Times New Roman"/>
          <w:sz w:val="24"/>
          <w:szCs w:val="24"/>
          <w:lang w:val="bg-BG"/>
        </w:rPr>
        <w:tab/>
        <w:t>райони с потенциал за периодична или сезонна употреба;</w:t>
      </w:r>
    </w:p>
    <w:p w:rsidR="00ED7F3D" w:rsidRPr="00ED7F3D" w:rsidRDefault="00ED7F3D" w:rsidP="00ED7F3D">
      <w:pPr>
        <w:spacing w:line="360" w:lineRule="auto"/>
        <w:ind w:firstLine="426"/>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w:t>
      </w:r>
      <w:r w:rsidRPr="00ED7F3D">
        <w:rPr>
          <w:rFonts w:ascii="Times New Roman" w:hAnsi="Times New Roman" w:cs="Times New Roman"/>
          <w:sz w:val="24"/>
          <w:szCs w:val="24"/>
          <w:lang w:val="bg-BG"/>
        </w:rPr>
        <w:tab/>
        <w:t>материали, от които са изградени тръбите  и другите компоненти за топла вода;</w:t>
      </w:r>
    </w:p>
    <w:p w:rsidR="00ED7F3D" w:rsidRPr="00ED7F3D" w:rsidRDefault="00ED7F3D" w:rsidP="00ED7F3D">
      <w:pPr>
        <w:spacing w:line="360" w:lineRule="auto"/>
        <w:ind w:firstLine="426"/>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w:t>
      </w:r>
      <w:r w:rsidRPr="00ED7F3D">
        <w:rPr>
          <w:rFonts w:ascii="Times New Roman" w:hAnsi="Times New Roman" w:cs="Times New Roman"/>
          <w:sz w:val="24"/>
          <w:szCs w:val="24"/>
          <w:lang w:val="bg-BG"/>
        </w:rPr>
        <w:tab/>
        <w:t>достъп за поддръжка или дезинфекция;</w:t>
      </w:r>
    </w:p>
    <w:p w:rsidR="00ED7F3D" w:rsidRPr="00ED7F3D" w:rsidRDefault="00ED7F3D" w:rsidP="00ED7F3D">
      <w:pPr>
        <w:tabs>
          <w:tab w:val="left" w:pos="709"/>
        </w:tabs>
        <w:spacing w:line="360" w:lineRule="auto"/>
        <w:ind w:firstLine="426"/>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           описание и характеристики на оборудването на входните и изходните точки (кранове, мивки, вани, душове и т.н.).</w:t>
      </w:r>
    </w:p>
    <w:p w:rsidR="00ED7F3D" w:rsidRPr="00ED7F3D" w:rsidRDefault="00ED7F3D" w:rsidP="00ED7F3D">
      <w:pPr>
        <w:spacing w:line="360" w:lineRule="auto"/>
        <w:ind w:firstLine="426"/>
        <w:jc w:val="both"/>
        <w:rPr>
          <w:rFonts w:ascii="Times New Roman" w:hAnsi="Times New Roman" w:cs="Times New Roman"/>
          <w:i/>
          <w:sz w:val="24"/>
          <w:szCs w:val="24"/>
          <w:lang w:val="bg-BG"/>
        </w:rPr>
      </w:pPr>
      <w:r w:rsidRPr="00ED7F3D">
        <w:rPr>
          <w:rFonts w:ascii="Times New Roman" w:hAnsi="Times New Roman" w:cs="Times New Roman"/>
          <w:i/>
          <w:sz w:val="24"/>
          <w:szCs w:val="24"/>
          <w:lang w:val="bg-BG"/>
        </w:rPr>
        <w:t>2.6. Подробно описание на наличие на системи за допълнително третиране на питейната вода след водомерния възел.</w:t>
      </w:r>
    </w:p>
    <w:p w:rsidR="00ED7F3D" w:rsidRPr="00ED7F3D" w:rsidRDefault="00ED7F3D" w:rsidP="00ED7F3D">
      <w:pPr>
        <w:spacing w:line="360" w:lineRule="auto"/>
        <w:ind w:firstLine="426"/>
        <w:jc w:val="both"/>
        <w:rPr>
          <w:rFonts w:ascii="Times New Roman" w:hAnsi="Times New Roman" w:cs="Times New Roman"/>
          <w:b/>
          <w:sz w:val="24"/>
          <w:szCs w:val="24"/>
          <w:u w:val="single"/>
          <w:lang w:val="bg-BG"/>
        </w:rPr>
      </w:pPr>
    </w:p>
    <w:p w:rsidR="00ED7F3D" w:rsidRPr="00ED7F3D" w:rsidRDefault="00ED7F3D" w:rsidP="00ED7F3D">
      <w:pPr>
        <w:spacing w:line="360" w:lineRule="auto"/>
        <w:ind w:firstLine="426"/>
        <w:jc w:val="both"/>
        <w:rPr>
          <w:rFonts w:ascii="Times New Roman" w:hAnsi="Times New Roman" w:cs="Times New Roman"/>
          <w:b/>
          <w:sz w:val="24"/>
          <w:szCs w:val="24"/>
          <w:u w:val="single"/>
          <w:lang w:val="bg-BG"/>
        </w:rPr>
      </w:pPr>
      <w:r w:rsidRPr="00ED7F3D">
        <w:rPr>
          <w:rFonts w:ascii="Times New Roman" w:hAnsi="Times New Roman" w:cs="Times New Roman"/>
          <w:b/>
          <w:sz w:val="24"/>
          <w:szCs w:val="24"/>
          <w:u w:val="single"/>
          <w:lang w:val="bg-BG"/>
        </w:rPr>
        <w:t>3. Идентифициране на опасностите и опасните събития</w:t>
      </w:r>
    </w:p>
    <w:p w:rsidR="00ED7F3D" w:rsidRPr="00ED7F3D" w:rsidRDefault="00ED7F3D" w:rsidP="00ED7F3D">
      <w:pPr>
        <w:spacing w:line="360" w:lineRule="auto"/>
        <w:ind w:firstLine="426"/>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Ефективното управление на риска изисква идентифициране на потенциалните опасности и техните източници, както и на потенциалните опасни събития, и оценка на нивото на риска, представляван от всеки от тях. В този контекст:</w:t>
      </w:r>
    </w:p>
    <w:p w:rsidR="00ED7F3D" w:rsidRPr="00ED7F3D" w:rsidRDefault="00ED7F3D" w:rsidP="00ED7F3D">
      <w:pPr>
        <w:spacing w:line="360" w:lineRule="auto"/>
        <w:ind w:firstLine="426"/>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w:t>
      </w:r>
      <w:r w:rsidRPr="00ED7F3D">
        <w:rPr>
          <w:rFonts w:ascii="Times New Roman" w:hAnsi="Times New Roman" w:cs="Times New Roman"/>
          <w:sz w:val="24"/>
          <w:szCs w:val="24"/>
          <w:lang w:val="bg-BG"/>
        </w:rPr>
        <w:tab/>
        <w:t>опасността е биологичен, химичен, физичен или радиологичен агент, който може да причини вреда. Разглеждат се вероятните опасности от всички видове рискове. Микробиологично замърсяване напр. може да възникне при авария на системата или проблеми в резервоарите и други системи, като хидрофобна уредба напр. и т. н. В лечебните заведения особено внимание следва да се обърне на риска от замърсяване с Legionella, Mycobacterium spp. и Pseudomonas aeruginosa..</w:t>
      </w:r>
    </w:p>
    <w:p w:rsidR="00ED7F3D" w:rsidRPr="00ED7F3D" w:rsidRDefault="00ED7F3D" w:rsidP="00ED7F3D">
      <w:pPr>
        <w:spacing w:line="360" w:lineRule="auto"/>
        <w:ind w:firstLine="426"/>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 xml:space="preserve"> Химично замърсяване от доставяната питейна вода, допълнителното пречистване и дезинфекция, материалите, от които е изградена вътрешната разпределителна система и т.н.</w:t>
      </w:r>
    </w:p>
    <w:p w:rsidR="00ED7F3D" w:rsidRPr="00ED7F3D" w:rsidRDefault="00ED7F3D" w:rsidP="00ED7F3D">
      <w:pPr>
        <w:spacing w:line="360" w:lineRule="auto"/>
        <w:ind w:firstLine="426"/>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 xml:space="preserve">• опасно събитие е инцидент или ситуация, която може да доведе до наличието на опасност (какво може да се случи и как) Напр. нерегулярно водоснабдяване, доставяне на неотговаряща на изискванията питейна вода от водоснабдителните дружества, чести </w:t>
      </w:r>
      <w:r w:rsidRPr="00ED7F3D">
        <w:rPr>
          <w:rFonts w:ascii="Times New Roman" w:hAnsi="Times New Roman" w:cs="Times New Roman"/>
          <w:sz w:val="24"/>
          <w:szCs w:val="24"/>
          <w:lang w:val="bg-BG"/>
        </w:rPr>
        <w:lastRenderedPageBreak/>
        <w:t>аварии както на довеждащите водопроводи, така и на вътрешната разпределителна система; нерегламентирано смесване на водата, ремонтни дейности и т.н.;</w:t>
      </w:r>
    </w:p>
    <w:p w:rsidR="00ED7F3D" w:rsidRPr="00ED7F3D" w:rsidRDefault="00ED7F3D" w:rsidP="00ED7F3D">
      <w:pPr>
        <w:spacing w:line="360" w:lineRule="auto"/>
        <w:ind w:firstLine="426"/>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 риск е вероятността идентифицираните опасности да причинят вреда на изложените на риск потребители в определен период от време, включително големината на тази вреда и/или последиците от нея.</w:t>
      </w:r>
    </w:p>
    <w:p w:rsidR="00ED7F3D" w:rsidRPr="00ED7F3D" w:rsidRDefault="00ED7F3D" w:rsidP="00ED7F3D">
      <w:pPr>
        <w:spacing w:line="360" w:lineRule="auto"/>
        <w:ind w:firstLine="426"/>
        <w:jc w:val="both"/>
        <w:rPr>
          <w:rFonts w:ascii="Times New Roman" w:hAnsi="Times New Roman" w:cs="Times New Roman"/>
          <w:b/>
          <w:sz w:val="24"/>
          <w:szCs w:val="24"/>
          <w:u w:val="single"/>
          <w:lang w:val="bg-BG"/>
        </w:rPr>
      </w:pPr>
      <w:r w:rsidRPr="00ED7F3D">
        <w:rPr>
          <w:rFonts w:ascii="Times New Roman" w:hAnsi="Times New Roman" w:cs="Times New Roman"/>
          <w:b/>
          <w:sz w:val="24"/>
          <w:szCs w:val="24"/>
          <w:u w:val="single"/>
          <w:lang w:val="bg-BG"/>
        </w:rPr>
        <w:t>4. Анализ на данните – оценка на риска:</w:t>
      </w:r>
    </w:p>
    <w:p w:rsidR="00ED7F3D" w:rsidRPr="00ED7F3D" w:rsidRDefault="00ED7F3D" w:rsidP="00ED7F3D">
      <w:pPr>
        <w:spacing w:line="360" w:lineRule="auto"/>
        <w:ind w:firstLine="426"/>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Оценката на риска е процес, чрез който идентифицираните опасности и опасни събития се оценяват, за да се реши дали представляват значителен риск, който трябва да бъде контролиран. Рискът, свързан с всяка опасност, може да бъде описан чрез идентифициране на вероятността за възникване (например "сигурен", "възможен", "рядък") и оценка на тежестта на последствията, ако е възникнала опасността (например "незначителни" , "важни", "катастрофални"). На практика</w:t>
      </w:r>
      <w:r w:rsidRPr="00ED7F3D">
        <w:rPr>
          <w:rFonts w:ascii="Times New Roman" w:hAnsi="Times New Roman" w:cs="Times New Roman"/>
          <w:sz w:val="24"/>
          <w:szCs w:val="24"/>
        </w:rPr>
        <w:t xml:space="preserve"> </w:t>
      </w:r>
      <w:r w:rsidRPr="00ED7F3D">
        <w:rPr>
          <w:rFonts w:ascii="Times New Roman" w:hAnsi="Times New Roman" w:cs="Times New Roman"/>
          <w:sz w:val="24"/>
          <w:szCs w:val="24"/>
          <w:lang w:val="bg-BG"/>
        </w:rPr>
        <w:t>идентифициране на опасностите и опасните събития,  оценката на риска, определяне и валидиране на мерките за контрол, преоценка и приоритизиране на рисковете и разработване, прилагане и поддържане на план за подобрение/надграждане обикновено се извършват едновременно. За по-голяма яснота всеки от тях се представя като отделна стъпка, тъй като включва редица дейности. По същество тези стъпки представляват оценка на системата, която идентифицира потенциалните опасности и опасните събития във всяка част от водоснабдителната верига, нивото на риск, представено от всяка опасност и опасно събитие, подходящите мерки за контрол на идентифицираните рискове и потвърждение, че стандартите и целите са изпълнени.</w:t>
      </w:r>
    </w:p>
    <w:p w:rsidR="00ED7F3D" w:rsidRPr="00ED7F3D" w:rsidRDefault="00ED7F3D" w:rsidP="00ED7F3D">
      <w:pPr>
        <w:widowControl w:val="0"/>
        <w:spacing w:line="360" w:lineRule="auto"/>
        <w:ind w:firstLine="426"/>
        <w:jc w:val="both"/>
        <w:rPr>
          <w:rFonts w:ascii="Times New Roman" w:hAnsi="Times New Roman" w:cs="Times New Roman"/>
          <w:color w:val="221E20"/>
          <w:sz w:val="24"/>
          <w:szCs w:val="24"/>
          <w:lang w:val="bg"/>
        </w:rPr>
      </w:pPr>
      <w:r w:rsidRPr="00ED7F3D">
        <w:rPr>
          <w:rFonts w:ascii="Times New Roman" w:hAnsi="Times New Roman" w:cs="Times New Roman"/>
          <w:color w:val="221E20"/>
          <w:sz w:val="24"/>
          <w:szCs w:val="24"/>
          <w:lang w:val="bg"/>
        </w:rPr>
        <w:t>При оценките на риска следва да се вземат предвид броят и уязвимостта на експонираните лица и видът на експозицията.</w:t>
      </w:r>
    </w:p>
    <w:p w:rsidR="00ED7F3D" w:rsidRPr="00ED7F3D" w:rsidRDefault="00ED7F3D" w:rsidP="00ED7F3D">
      <w:pPr>
        <w:widowControl w:val="0"/>
        <w:spacing w:line="360" w:lineRule="auto"/>
        <w:ind w:firstLine="426"/>
        <w:jc w:val="both"/>
        <w:rPr>
          <w:rFonts w:ascii="Times New Roman" w:hAnsi="Times New Roman" w:cs="Times New Roman"/>
          <w:color w:val="221E20"/>
          <w:sz w:val="24"/>
          <w:szCs w:val="24"/>
          <w:lang w:val="bg"/>
        </w:rPr>
      </w:pPr>
      <w:r w:rsidRPr="00ED7F3D">
        <w:rPr>
          <w:rFonts w:ascii="Times New Roman" w:hAnsi="Times New Roman" w:cs="Times New Roman"/>
          <w:color w:val="221E20"/>
          <w:sz w:val="24"/>
          <w:szCs w:val="24"/>
          <w:lang w:val="bg"/>
        </w:rPr>
        <w:t xml:space="preserve">В процеса на оценка на риска важният въпрос е да се идентифицират и приоритизират неприемливите рискове, които трябва да бъдат контролирани. </w:t>
      </w:r>
    </w:p>
    <w:p w:rsidR="00ED7F3D" w:rsidRPr="00ED7F3D" w:rsidRDefault="00ED7F3D" w:rsidP="00ED7F3D">
      <w:pPr>
        <w:widowControl w:val="0"/>
        <w:spacing w:line="360" w:lineRule="auto"/>
        <w:ind w:firstLine="426"/>
        <w:jc w:val="both"/>
        <w:rPr>
          <w:rFonts w:ascii="Times New Roman" w:hAnsi="Times New Roman" w:cs="Times New Roman"/>
          <w:color w:val="221E20"/>
          <w:sz w:val="24"/>
          <w:szCs w:val="24"/>
          <w:lang w:val="bg"/>
        </w:rPr>
      </w:pPr>
      <w:r w:rsidRPr="00ED7F3D">
        <w:rPr>
          <w:rFonts w:ascii="Times New Roman" w:hAnsi="Times New Roman" w:cs="Times New Roman"/>
          <w:color w:val="221E20"/>
          <w:sz w:val="24"/>
          <w:szCs w:val="24"/>
          <w:lang w:val="bg"/>
        </w:rPr>
        <w:t>При  един от подходите за оценка и класиране на рисковете вероятността от възникване на опасност се комбинира със сериозността на последствията, за да се осигури матрица на риска, и е особено приложима за опасни събития.</w:t>
      </w:r>
    </w:p>
    <w:p w:rsidR="00ED7F3D" w:rsidRPr="00ED7F3D" w:rsidRDefault="00ED7F3D" w:rsidP="00ED7F3D">
      <w:pPr>
        <w:widowControl w:val="0"/>
        <w:spacing w:line="360" w:lineRule="auto"/>
        <w:ind w:firstLine="426"/>
        <w:jc w:val="both"/>
        <w:rPr>
          <w:rFonts w:ascii="Times New Roman" w:hAnsi="Times New Roman" w:cs="Times New Roman"/>
          <w:color w:val="221E20"/>
          <w:sz w:val="24"/>
          <w:szCs w:val="24"/>
          <w:lang w:val="bg"/>
        </w:rPr>
      </w:pPr>
    </w:p>
    <w:p w:rsidR="00ED7F3D" w:rsidRPr="00ED7F3D" w:rsidRDefault="00ED7F3D" w:rsidP="00ED7F3D">
      <w:pPr>
        <w:widowControl w:val="0"/>
        <w:spacing w:line="360" w:lineRule="auto"/>
        <w:ind w:firstLine="426"/>
        <w:jc w:val="both"/>
        <w:rPr>
          <w:rFonts w:ascii="Times New Roman" w:hAnsi="Times New Roman" w:cs="Times New Roman"/>
          <w:color w:val="221E20"/>
          <w:sz w:val="24"/>
          <w:szCs w:val="24"/>
          <w:lang w:val="bg"/>
        </w:rPr>
      </w:pPr>
    </w:p>
    <w:p w:rsidR="00ED7F3D" w:rsidRPr="00ED7F3D" w:rsidRDefault="00ED7F3D" w:rsidP="00ED7F3D">
      <w:pPr>
        <w:widowControl w:val="0"/>
        <w:spacing w:after="300" w:line="264" w:lineRule="auto"/>
        <w:ind w:firstLine="426"/>
        <w:jc w:val="both"/>
        <w:rPr>
          <w:rFonts w:ascii="Times New Roman" w:hAnsi="Times New Roman" w:cs="Times New Roman"/>
          <w:color w:val="221E20"/>
          <w:sz w:val="24"/>
          <w:szCs w:val="24"/>
          <w:lang w:val="bg"/>
        </w:rPr>
      </w:pPr>
      <w:r w:rsidRPr="00ED7F3D">
        <w:rPr>
          <w:rFonts w:ascii="Times New Roman" w:hAnsi="Times New Roman" w:cs="Times New Roman"/>
          <w:color w:val="221E20"/>
          <w:sz w:val="24"/>
          <w:szCs w:val="24"/>
          <w:lang w:val="bg"/>
        </w:rPr>
        <w:t>Таблиците по-долу показват някой от възможните подходи за оценка на риска: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65"/>
        <w:gridCol w:w="1238"/>
        <w:gridCol w:w="994"/>
        <w:gridCol w:w="1085"/>
        <w:gridCol w:w="912"/>
        <w:gridCol w:w="1416"/>
      </w:tblGrid>
      <w:tr w:rsidR="00ED7F3D" w:rsidRPr="00ED7F3D" w:rsidTr="000B5786">
        <w:trPr>
          <w:trHeight w:hRule="exact" w:val="350"/>
          <w:jc w:val="center"/>
        </w:trPr>
        <w:tc>
          <w:tcPr>
            <w:tcW w:w="1465" w:type="dxa"/>
            <w:vMerge w:val="restart"/>
            <w:tcBorders>
              <w:top w:val="single" w:sz="4" w:space="0" w:color="auto"/>
              <w:left w:val="single" w:sz="4" w:space="0" w:color="auto"/>
            </w:tcBorders>
            <w:shd w:val="clear" w:color="auto" w:fill="auto"/>
            <w:vAlign w:val="bottom"/>
          </w:tcPr>
          <w:p w:rsidR="00ED7F3D" w:rsidRPr="00ED7F3D" w:rsidRDefault="00ED7F3D" w:rsidP="000B5786">
            <w:pPr>
              <w:widowControl w:val="0"/>
              <w:rPr>
                <w:rFonts w:ascii="Times New Roman" w:hAnsi="Times New Roman" w:cs="Times New Roman"/>
                <w:color w:val="221E20"/>
                <w:sz w:val="24"/>
                <w:szCs w:val="24"/>
                <w:lang w:val="bg"/>
              </w:rPr>
            </w:pPr>
            <w:r w:rsidRPr="00ED7F3D">
              <w:rPr>
                <w:rFonts w:ascii="Times New Roman" w:eastAsia="Arial" w:hAnsi="Times New Roman" w:cs="Times New Roman"/>
                <w:color w:val="221E20"/>
                <w:sz w:val="24"/>
                <w:szCs w:val="24"/>
                <w:lang w:val="bg"/>
              </w:rPr>
              <w:lastRenderedPageBreak/>
              <w:t>Вероятност</w:t>
            </w:r>
          </w:p>
        </w:tc>
        <w:tc>
          <w:tcPr>
            <w:tcW w:w="5645" w:type="dxa"/>
            <w:gridSpan w:val="5"/>
            <w:tcBorders>
              <w:top w:val="single" w:sz="4" w:space="0" w:color="auto"/>
              <w:left w:val="single" w:sz="4" w:space="0" w:color="auto"/>
              <w:right w:val="single" w:sz="4" w:space="0" w:color="auto"/>
            </w:tcBorders>
            <w:shd w:val="clear" w:color="auto" w:fill="auto"/>
            <w:vAlign w:val="bottom"/>
          </w:tcPr>
          <w:p w:rsidR="00ED7F3D" w:rsidRPr="00ED7F3D" w:rsidRDefault="00ED7F3D" w:rsidP="000B5786">
            <w:pPr>
              <w:widowControl w:val="0"/>
              <w:jc w:val="center"/>
              <w:rPr>
                <w:rFonts w:ascii="Times New Roman" w:hAnsi="Times New Roman" w:cs="Times New Roman"/>
                <w:color w:val="221E20"/>
                <w:sz w:val="24"/>
                <w:szCs w:val="24"/>
                <w:lang w:val="bg"/>
              </w:rPr>
            </w:pPr>
            <w:r w:rsidRPr="00ED7F3D">
              <w:rPr>
                <w:rFonts w:ascii="Times New Roman" w:eastAsia="Arial" w:hAnsi="Times New Roman" w:cs="Times New Roman"/>
                <w:color w:val="221E20"/>
                <w:sz w:val="24"/>
                <w:szCs w:val="24"/>
                <w:lang w:val="bg"/>
              </w:rPr>
              <w:t>Сериозност на последствията</w:t>
            </w:r>
          </w:p>
        </w:tc>
      </w:tr>
      <w:tr w:rsidR="00ED7F3D" w:rsidRPr="00ED7F3D" w:rsidTr="000B5786">
        <w:trPr>
          <w:trHeight w:hRule="exact" w:val="1599"/>
          <w:jc w:val="center"/>
        </w:trPr>
        <w:tc>
          <w:tcPr>
            <w:tcW w:w="1465" w:type="dxa"/>
            <w:vMerge/>
            <w:tcBorders>
              <w:left w:val="single" w:sz="4" w:space="0" w:color="auto"/>
            </w:tcBorders>
            <w:shd w:val="clear" w:color="auto" w:fill="auto"/>
            <w:vAlign w:val="bottom"/>
          </w:tcPr>
          <w:p w:rsidR="00ED7F3D" w:rsidRPr="00ED7F3D" w:rsidRDefault="00ED7F3D" w:rsidP="000B5786">
            <w:pPr>
              <w:widowControl w:val="0"/>
              <w:rPr>
                <w:rFonts w:ascii="Times New Roman" w:hAnsi="Times New Roman" w:cs="Times New Roman"/>
                <w:color w:val="000000"/>
                <w:sz w:val="24"/>
                <w:szCs w:val="24"/>
                <w:lang w:val="bg"/>
              </w:rPr>
            </w:pPr>
          </w:p>
        </w:tc>
        <w:tc>
          <w:tcPr>
            <w:tcW w:w="1238" w:type="dxa"/>
            <w:tcBorders>
              <w:top w:val="single" w:sz="4" w:space="0" w:color="auto"/>
              <w:left w:val="single" w:sz="4" w:space="0" w:color="auto"/>
            </w:tcBorders>
            <w:shd w:val="clear" w:color="auto" w:fill="auto"/>
            <w:textDirection w:val="btLr"/>
          </w:tcPr>
          <w:p w:rsidR="00ED7F3D" w:rsidRPr="00ED7F3D" w:rsidRDefault="00ED7F3D" w:rsidP="000B5786">
            <w:pPr>
              <w:widowControl w:val="0"/>
              <w:spacing w:before="500"/>
              <w:rPr>
                <w:rFonts w:ascii="Times New Roman" w:hAnsi="Times New Roman" w:cs="Times New Roman"/>
                <w:color w:val="221E20"/>
                <w:sz w:val="24"/>
                <w:szCs w:val="24"/>
                <w:lang w:val="bg"/>
              </w:rPr>
            </w:pPr>
            <w:r w:rsidRPr="00ED7F3D">
              <w:rPr>
                <w:rFonts w:ascii="Times New Roman" w:eastAsia="Arial" w:hAnsi="Times New Roman" w:cs="Times New Roman"/>
                <w:color w:val="221E20"/>
                <w:sz w:val="24"/>
                <w:szCs w:val="24"/>
                <w:lang w:val="bg"/>
              </w:rPr>
              <w:t>Незначителни</w:t>
            </w:r>
          </w:p>
        </w:tc>
        <w:tc>
          <w:tcPr>
            <w:tcW w:w="994" w:type="dxa"/>
            <w:tcBorders>
              <w:top w:val="single" w:sz="4" w:space="0" w:color="auto"/>
              <w:left w:val="single" w:sz="4" w:space="0" w:color="auto"/>
            </w:tcBorders>
            <w:shd w:val="clear" w:color="auto" w:fill="auto"/>
            <w:textDirection w:val="btLr"/>
          </w:tcPr>
          <w:p w:rsidR="00ED7F3D" w:rsidRPr="00ED7F3D" w:rsidRDefault="00ED7F3D" w:rsidP="000B5786">
            <w:pPr>
              <w:widowControl w:val="0"/>
              <w:spacing w:before="380"/>
              <w:rPr>
                <w:rFonts w:ascii="Times New Roman" w:hAnsi="Times New Roman" w:cs="Times New Roman"/>
                <w:color w:val="221E20"/>
                <w:sz w:val="24"/>
                <w:szCs w:val="24"/>
                <w:lang w:val="bg"/>
              </w:rPr>
            </w:pPr>
            <w:r w:rsidRPr="00ED7F3D">
              <w:rPr>
                <w:rFonts w:ascii="Times New Roman" w:eastAsia="Arial" w:hAnsi="Times New Roman" w:cs="Times New Roman"/>
                <w:color w:val="221E20"/>
                <w:sz w:val="24"/>
                <w:szCs w:val="24"/>
                <w:lang w:val="bg"/>
              </w:rPr>
              <w:t>Незначителни</w:t>
            </w:r>
          </w:p>
        </w:tc>
        <w:tc>
          <w:tcPr>
            <w:tcW w:w="1085" w:type="dxa"/>
            <w:tcBorders>
              <w:top w:val="single" w:sz="4" w:space="0" w:color="auto"/>
              <w:left w:val="single" w:sz="4" w:space="0" w:color="auto"/>
            </w:tcBorders>
            <w:shd w:val="clear" w:color="auto" w:fill="auto"/>
            <w:textDirection w:val="btLr"/>
          </w:tcPr>
          <w:p w:rsidR="00ED7F3D" w:rsidRPr="00ED7F3D" w:rsidRDefault="00ED7F3D" w:rsidP="000B5786">
            <w:pPr>
              <w:widowControl w:val="0"/>
              <w:spacing w:before="420"/>
              <w:rPr>
                <w:rFonts w:ascii="Times New Roman" w:hAnsi="Times New Roman" w:cs="Times New Roman"/>
                <w:color w:val="221E20"/>
                <w:sz w:val="24"/>
                <w:szCs w:val="24"/>
                <w:lang w:val="bg"/>
              </w:rPr>
            </w:pPr>
            <w:r w:rsidRPr="00ED7F3D">
              <w:rPr>
                <w:rFonts w:ascii="Times New Roman" w:eastAsia="Arial" w:hAnsi="Times New Roman" w:cs="Times New Roman"/>
                <w:color w:val="221E20"/>
                <w:sz w:val="24"/>
                <w:szCs w:val="24"/>
                <w:lang w:val="bg"/>
              </w:rPr>
              <w:t>Умерен</w:t>
            </w:r>
          </w:p>
        </w:tc>
        <w:tc>
          <w:tcPr>
            <w:tcW w:w="912" w:type="dxa"/>
            <w:tcBorders>
              <w:top w:val="single" w:sz="4" w:space="0" w:color="auto"/>
              <w:left w:val="single" w:sz="4" w:space="0" w:color="auto"/>
            </w:tcBorders>
            <w:shd w:val="clear" w:color="auto" w:fill="auto"/>
            <w:textDirection w:val="btLr"/>
          </w:tcPr>
          <w:p w:rsidR="00ED7F3D" w:rsidRPr="00ED7F3D" w:rsidRDefault="00ED7F3D" w:rsidP="000B5786">
            <w:pPr>
              <w:widowControl w:val="0"/>
              <w:spacing w:before="340"/>
              <w:rPr>
                <w:rFonts w:ascii="Times New Roman" w:hAnsi="Times New Roman" w:cs="Times New Roman"/>
                <w:color w:val="221E20"/>
                <w:sz w:val="24"/>
                <w:szCs w:val="24"/>
                <w:lang w:val="bg"/>
              </w:rPr>
            </w:pPr>
            <w:r w:rsidRPr="00ED7F3D">
              <w:rPr>
                <w:rFonts w:ascii="Times New Roman" w:eastAsia="Arial" w:hAnsi="Times New Roman" w:cs="Times New Roman"/>
                <w:color w:val="221E20"/>
                <w:sz w:val="24"/>
                <w:szCs w:val="24"/>
                <w:lang w:val="bg"/>
              </w:rPr>
              <w:t>Голям</w:t>
            </w:r>
          </w:p>
        </w:tc>
        <w:tc>
          <w:tcPr>
            <w:tcW w:w="1416" w:type="dxa"/>
            <w:tcBorders>
              <w:top w:val="single" w:sz="4" w:space="0" w:color="auto"/>
              <w:left w:val="single" w:sz="4" w:space="0" w:color="auto"/>
              <w:right w:val="single" w:sz="4" w:space="0" w:color="auto"/>
            </w:tcBorders>
            <w:shd w:val="clear" w:color="auto" w:fill="auto"/>
            <w:textDirection w:val="btLr"/>
          </w:tcPr>
          <w:p w:rsidR="00ED7F3D" w:rsidRPr="00ED7F3D" w:rsidRDefault="00ED7F3D" w:rsidP="000B5786">
            <w:pPr>
              <w:widowControl w:val="0"/>
              <w:spacing w:before="600"/>
              <w:rPr>
                <w:rFonts w:ascii="Times New Roman" w:hAnsi="Times New Roman" w:cs="Times New Roman"/>
                <w:color w:val="221E20"/>
                <w:sz w:val="24"/>
                <w:szCs w:val="24"/>
                <w:lang w:val="bg"/>
              </w:rPr>
            </w:pPr>
            <w:r w:rsidRPr="00ED7F3D">
              <w:rPr>
                <w:rFonts w:ascii="Times New Roman" w:eastAsia="Arial" w:hAnsi="Times New Roman" w:cs="Times New Roman"/>
                <w:color w:val="221E20"/>
                <w:sz w:val="24"/>
                <w:szCs w:val="24"/>
                <w:lang w:val="bg"/>
              </w:rPr>
              <w:t>Катастрофални</w:t>
            </w:r>
          </w:p>
        </w:tc>
      </w:tr>
      <w:tr w:rsidR="00ED7F3D" w:rsidRPr="00ED7F3D" w:rsidTr="000B5786">
        <w:trPr>
          <w:trHeight w:hRule="exact" w:val="533"/>
          <w:jc w:val="center"/>
        </w:trPr>
        <w:tc>
          <w:tcPr>
            <w:tcW w:w="1465" w:type="dxa"/>
            <w:tcBorders>
              <w:top w:val="single" w:sz="4" w:space="0" w:color="auto"/>
              <w:left w:val="single" w:sz="4" w:space="0" w:color="auto"/>
            </w:tcBorders>
            <w:shd w:val="clear" w:color="auto" w:fill="auto"/>
            <w:vAlign w:val="center"/>
          </w:tcPr>
          <w:p w:rsidR="00ED7F3D" w:rsidRPr="00ED7F3D" w:rsidRDefault="00ED7F3D" w:rsidP="000B5786">
            <w:pPr>
              <w:widowControl w:val="0"/>
              <w:rPr>
                <w:rFonts w:ascii="Times New Roman" w:hAnsi="Times New Roman" w:cs="Times New Roman"/>
                <w:color w:val="221E20"/>
                <w:sz w:val="24"/>
                <w:szCs w:val="24"/>
                <w:lang w:val="bg"/>
              </w:rPr>
            </w:pPr>
            <w:r w:rsidRPr="00ED7F3D">
              <w:rPr>
                <w:rFonts w:ascii="Times New Roman" w:eastAsia="Arial" w:hAnsi="Times New Roman" w:cs="Times New Roman"/>
                <w:color w:val="221E20"/>
                <w:sz w:val="24"/>
                <w:szCs w:val="24"/>
                <w:lang w:val="bg"/>
              </w:rPr>
              <w:t>Почти сигурно</w:t>
            </w:r>
          </w:p>
        </w:tc>
        <w:tc>
          <w:tcPr>
            <w:tcW w:w="1238" w:type="dxa"/>
            <w:tcBorders>
              <w:top w:val="single" w:sz="4" w:space="0" w:color="auto"/>
              <w:left w:val="single" w:sz="4" w:space="0" w:color="auto"/>
            </w:tcBorders>
            <w:shd w:val="clear" w:color="auto" w:fill="DEDFE9"/>
          </w:tcPr>
          <w:p w:rsidR="00ED7F3D" w:rsidRPr="00ED7F3D" w:rsidRDefault="00ED7F3D" w:rsidP="000B5786">
            <w:pPr>
              <w:widowControl w:val="0"/>
              <w:rPr>
                <w:rFonts w:ascii="Times New Roman" w:hAnsi="Times New Roman" w:cs="Times New Roman"/>
                <w:color w:val="000000"/>
                <w:sz w:val="24"/>
                <w:szCs w:val="24"/>
                <w:lang w:val="bg"/>
              </w:rPr>
            </w:pPr>
          </w:p>
        </w:tc>
        <w:tc>
          <w:tcPr>
            <w:tcW w:w="994" w:type="dxa"/>
            <w:tcBorders>
              <w:top w:val="single" w:sz="4" w:space="0" w:color="auto"/>
              <w:left w:val="single" w:sz="4" w:space="0" w:color="auto"/>
            </w:tcBorders>
            <w:shd w:val="clear" w:color="auto" w:fill="ADAEB1"/>
          </w:tcPr>
          <w:p w:rsidR="00ED7F3D" w:rsidRPr="00ED7F3D" w:rsidRDefault="00ED7F3D" w:rsidP="000B5786">
            <w:pPr>
              <w:widowControl w:val="0"/>
              <w:rPr>
                <w:rFonts w:ascii="Times New Roman" w:hAnsi="Times New Roman" w:cs="Times New Roman"/>
                <w:color w:val="000000"/>
                <w:sz w:val="24"/>
                <w:szCs w:val="24"/>
                <w:lang w:val="bg"/>
              </w:rPr>
            </w:pPr>
          </w:p>
        </w:tc>
        <w:tc>
          <w:tcPr>
            <w:tcW w:w="1085" w:type="dxa"/>
            <w:tcBorders>
              <w:top w:val="single" w:sz="4" w:space="0" w:color="auto"/>
              <w:left w:val="single" w:sz="4" w:space="0" w:color="auto"/>
            </w:tcBorders>
            <w:shd w:val="clear" w:color="auto" w:fill="ADAEB1"/>
          </w:tcPr>
          <w:p w:rsidR="00ED7F3D" w:rsidRPr="00ED7F3D" w:rsidRDefault="00ED7F3D" w:rsidP="000B5786">
            <w:pPr>
              <w:widowControl w:val="0"/>
              <w:rPr>
                <w:rFonts w:ascii="Times New Roman" w:hAnsi="Times New Roman" w:cs="Times New Roman"/>
                <w:color w:val="000000"/>
                <w:sz w:val="24"/>
                <w:szCs w:val="24"/>
                <w:lang w:val="bg"/>
              </w:rPr>
            </w:pPr>
          </w:p>
        </w:tc>
        <w:tc>
          <w:tcPr>
            <w:tcW w:w="912" w:type="dxa"/>
            <w:tcBorders>
              <w:top w:val="single" w:sz="4" w:space="0" w:color="auto"/>
              <w:left w:val="single" w:sz="4" w:space="0" w:color="auto"/>
            </w:tcBorders>
            <w:shd w:val="clear" w:color="auto" w:fill="ADAEB1"/>
          </w:tcPr>
          <w:p w:rsidR="00ED7F3D" w:rsidRPr="00ED7F3D" w:rsidRDefault="00ED7F3D" w:rsidP="000B5786">
            <w:pPr>
              <w:widowControl w:val="0"/>
              <w:rPr>
                <w:rFonts w:ascii="Times New Roman" w:hAnsi="Times New Roman" w:cs="Times New Roman"/>
                <w:color w:val="000000"/>
                <w:sz w:val="24"/>
                <w:szCs w:val="24"/>
                <w:lang w:val="bg"/>
              </w:rPr>
            </w:pPr>
          </w:p>
        </w:tc>
        <w:tc>
          <w:tcPr>
            <w:tcW w:w="1416" w:type="dxa"/>
            <w:tcBorders>
              <w:top w:val="single" w:sz="4" w:space="0" w:color="auto"/>
              <w:left w:val="single" w:sz="4" w:space="0" w:color="auto"/>
              <w:right w:val="single" w:sz="4" w:space="0" w:color="auto"/>
            </w:tcBorders>
            <w:shd w:val="clear" w:color="auto" w:fill="ADAEB1"/>
          </w:tcPr>
          <w:p w:rsidR="00ED7F3D" w:rsidRPr="00ED7F3D" w:rsidRDefault="00ED7F3D" w:rsidP="000B5786">
            <w:pPr>
              <w:widowControl w:val="0"/>
              <w:rPr>
                <w:rFonts w:ascii="Times New Roman" w:hAnsi="Times New Roman" w:cs="Times New Roman"/>
                <w:color w:val="000000"/>
                <w:sz w:val="24"/>
                <w:szCs w:val="24"/>
                <w:lang w:val="bg"/>
              </w:rPr>
            </w:pPr>
          </w:p>
        </w:tc>
      </w:tr>
      <w:tr w:rsidR="00ED7F3D" w:rsidRPr="00ED7F3D" w:rsidTr="000B5786">
        <w:trPr>
          <w:trHeight w:hRule="exact" w:val="370"/>
          <w:jc w:val="center"/>
        </w:trPr>
        <w:tc>
          <w:tcPr>
            <w:tcW w:w="1465" w:type="dxa"/>
            <w:tcBorders>
              <w:top w:val="single" w:sz="4" w:space="0" w:color="auto"/>
              <w:left w:val="single" w:sz="4" w:space="0" w:color="auto"/>
            </w:tcBorders>
            <w:shd w:val="clear" w:color="auto" w:fill="auto"/>
            <w:vAlign w:val="center"/>
          </w:tcPr>
          <w:p w:rsidR="00ED7F3D" w:rsidRPr="00ED7F3D" w:rsidRDefault="00ED7F3D" w:rsidP="000B5786">
            <w:pPr>
              <w:widowControl w:val="0"/>
              <w:rPr>
                <w:rFonts w:ascii="Times New Roman" w:hAnsi="Times New Roman" w:cs="Times New Roman"/>
                <w:color w:val="221E20"/>
                <w:sz w:val="24"/>
                <w:szCs w:val="24"/>
                <w:lang w:val="bg"/>
              </w:rPr>
            </w:pPr>
            <w:r w:rsidRPr="00ED7F3D">
              <w:rPr>
                <w:rFonts w:ascii="Times New Roman" w:eastAsia="Arial" w:hAnsi="Times New Roman" w:cs="Times New Roman"/>
                <w:color w:val="221E20"/>
                <w:sz w:val="24"/>
                <w:szCs w:val="24"/>
                <w:lang w:val="bg"/>
              </w:rPr>
              <w:t>Вероятно</w:t>
            </w:r>
          </w:p>
        </w:tc>
        <w:tc>
          <w:tcPr>
            <w:tcW w:w="1238" w:type="dxa"/>
            <w:tcBorders>
              <w:top w:val="single" w:sz="4" w:space="0" w:color="auto"/>
              <w:left w:val="single" w:sz="4" w:space="0" w:color="auto"/>
            </w:tcBorders>
            <w:shd w:val="clear" w:color="auto" w:fill="DEDFE9"/>
          </w:tcPr>
          <w:p w:rsidR="00ED7F3D" w:rsidRPr="00ED7F3D" w:rsidRDefault="00ED7F3D" w:rsidP="000B5786">
            <w:pPr>
              <w:widowControl w:val="0"/>
              <w:rPr>
                <w:rFonts w:ascii="Times New Roman" w:hAnsi="Times New Roman" w:cs="Times New Roman"/>
                <w:color w:val="000000"/>
                <w:sz w:val="24"/>
                <w:szCs w:val="24"/>
                <w:lang w:val="bg"/>
              </w:rPr>
            </w:pPr>
          </w:p>
        </w:tc>
        <w:tc>
          <w:tcPr>
            <w:tcW w:w="994" w:type="dxa"/>
            <w:tcBorders>
              <w:top w:val="single" w:sz="4" w:space="0" w:color="auto"/>
              <w:left w:val="single" w:sz="4" w:space="0" w:color="auto"/>
            </w:tcBorders>
            <w:shd w:val="clear" w:color="auto" w:fill="ADAEB1"/>
          </w:tcPr>
          <w:p w:rsidR="00ED7F3D" w:rsidRPr="00ED7F3D" w:rsidRDefault="00ED7F3D" w:rsidP="000B5786">
            <w:pPr>
              <w:widowControl w:val="0"/>
              <w:rPr>
                <w:rFonts w:ascii="Times New Roman" w:hAnsi="Times New Roman" w:cs="Times New Roman"/>
                <w:color w:val="000000"/>
                <w:sz w:val="24"/>
                <w:szCs w:val="24"/>
                <w:lang w:val="bg"/>
              </w:rPr>
            </w:pPr>
          </w:p>
        </w:tc>
        <w:tc>
          <w:tcPr>
            <w:tcW w:w="1085" w:type="dxa"/>
            <w:tcBorders>
              <w:top w:val="single" w:sz="4" w:space="0" w:color="auto"/>
              <w:left w:val="single" w:sz="4" w:space="0" w:color="auto"/>
            </w:tcBorders>
            <w:shd w:val="clear" w:color="auto" w:fill="ADAEB1"/>
          </w:tcPr>
          <w:p w:rsidR="00ED7F3D" w:rsidRPr="00ED7F3D" w:rsidRDefault="00ED7F3D" w:rsidP="000B5786">
            <w:pPr>
              <w:widowControl w:val="0"/>
              <w:rPr>
                <w:rFonts w:ascii="Times New Roman" w:hAnsi="Times New Roman" w:cs="Times New Roman"/>
                <w:color w:val="000000"/>
                <w:sz w:val="24"/>
                <w:szCs w:val="24"/>
                <w:lang w:val="bg"/>
              </w:rPr>
            </w:pPr>
          </w:p>
        </w:tc>
        <w:tc>
          <w:tcPr>
            <w:tcW w:w="912" w:type="dxa"/>
            <w:tcBorders>
              <w:top w:val="single" w:sz="4" w:space="0" w:color="auto"/>
              <w:left w:val="single" w:sz="4" w:space="0" w:color="auto"/>
            </w:tcBorders>
            <w:shd w:val="clear" w:color="auto" w:fill="ADAEB1"/>
          </w:tcPr>
          <w:p w:rsidR="00ED7F3D" w:rsidRPr="00ED7F3D" w:rsidRDefault="00ED7F3D" w:rsidP="000B5786">
            <w:pPr>
              <w:widowControl w:val="0"/>
              <w:rPr>
                <w:rFonts w:ascii="Times New Roman" w:hAnsi="Times New Roman" w:cs="Times New Roman"/>
                <w:color w:val="000000"/>
                <w:sz w:val="24"/>
                <w:szCs w:val="24"/>
                <w:lang w:val="bg"/>
              </w:rPr>
            </w:pPr>
          </w:p>
        </w:tc>
        <w:tc>
          <w:tcPr>
            <w:tcW w:w="1416" w:type="dxa"/>
            <w:tcBorders>
              <w:top w:val="single" w:sz="4" w:space="0" w:color="auto"/>
              <w:left w:val="single" w:sz="4" w:space="0" w:color="auto"/>
              <w:right w:val="single" w:sz="4" w:space="0" w:color="auto"/>
            </w:tcBorders>
            <w:shd w:val="clear" w:color="auto" w:fill="ADAEB1"/>
          </w:tcPr>
          <w:p w:rsidR="00ED7F3D" w:rsidRPr="00ED7F3D" w:rsidRDefault="00ED7F3D" w:rsidP="000B5786">
            <w:pPr>
              <w:widowControl w:val="0"/>
              <w:rPr>
                <w:rFonts w:ascii="Times New Roman" w:hAnsi="Times New Roman" w:cs="Times New Roman"/>
                <w:color w:val="000000"/>
                <w:sz w:val="24"/>
                <w:szCs w:val="24"/>
                <w:lang w:val="bg"/>
              </w:rPr>
            </w:pPr>
          </w:p>
        </w:tc>
      </w:tr>
      <w:tr w:rsidR="00ED7F3D" w:rsidRPr="00ED7F3D" w:rsidTr="000B5786">
        <w:trPr>
          <w:trHeight w:hRule="exact" w:val="538"/>
          <w:jc w:val="center"/>
        </w:trPr>
        <w:tc>
          <w:tcPr>
            <w:tcW w:w="1465" w:type="dxa"/>
            <w:tcBorders>
              <w:top w:val="single" w:sz="4" w:space="0" w:color="auto"/>
              <w:left w:val="single" w:sz="4" w:space="0" w:color="auto"/>
            </w:tcBorders>
            <w:shd w:val="clear" w:color="auto" w:fill="auto"/>
            <w:vAlign w:val="bottom"/>
          </w:tcPr>
          <w:p w:rsidR="00ED7F3D" w:rsidRPr="00ED7F3D" w:rsidRDefault="00ED7F3D" w:rsidP="000B5786">
            <w:pPr>
              <w:widowControl w:val="0"/>
              <w:rPr>
                <w:rFonts w:ascii="Times New Roman" w:hAnsi="Times New Roman" w:cs="Times New Roman"/>
                <w:color w:val="221E20"/>
                <w:sz w:val="24"/>
                <w:szCs w:val="24"/>
                <w:lang w:val="bg"/>
              </w:rPr>
            </w:pPr>
            <w:r w:rsidRPr="00ED7F3D">
              <w:rPr>
                <w:rFonts w:ascii="Times New Roman" w:eastAsia="Arial" w:hAnsi="Times New Roman" w:cs="Times New Roman"/>
                <w:color w:val="221E20"/>
                <w:sz w:val="24"/>
                <w:szCs w:val="24"/>
                <w:lang w:val="bg"/>
              </w:rPr>
              <w:t>Умерено вероятно</w:t>
            </w:r>
          </w:p>
        </w:tc>
        <w:tc>
          <w:tcPr>
            <w:tcW w:w="1238" w:type="dxa"/>
            <w:tcBorders>
              <w:top w:val="single" w:sz="4" w:space="0" w:color="auto"/>
              <w:left w:val="single" w:sz="4" w:space="0" w:color="auto"/>
            </w:tcBorders>
            <w:shd w:val="clear" w:color="auto" w:fill="DEDFE9"/>
          </w:tcPr>
          <w:p w:rsidR="00ED7F3D" w:rsidRPr="00ED7F3D" w:rsidRDefault="00ED7F3D" w:rsidP="000B5786">
            <w:pPr>
              <w:widowControl w:val="0"/>
              <w:rPr>
                <w:rFonts w:ascii="Times New Roman" w:hAnsi="Times New Roman" w:cs="Times New Roman"/>
                <w:color w:val="000000"/>
                <w:sz w:val="24"/>
                <w:szCs w:val="24"/>
                <w:lang w:val="bg"/>
              </w:rPr>
            </w:pPr>
          </w:p>
        </w:tc>
        <w:tc>
          <w:tcPr>
            <w:tcW w:w="994" w:type="dxa"/>
            <w:tcBorders>
              <w:top w:val="single" w:sz="4" w:space="0" w:color="auto"/>
              <w:left w:val="single" w:sz="4" w:space="0" w:color="auto"/>
            </w:tcBorders>
            <w:shd w:val="clear" w:color="auto" w:fill="DEDFE9"/>
          </w:tcPr>
          <w:p w:rsidR="00ED7F3D" w:rsidRPr="00ED7F3D" w:rsidRDefault="00ED7F3D" w:rsidP="000B5786">
            <w:pPr>
              <w:widowControl w:val="0"/>
              <w:rPr>
                <w:rFonts w:ascii="Times New Roman" w:hAnsi="Times New Roman" w:cs="Times New Roman"/>
                <w:color w:val="000000"/>
                <w:sz w:val="24"/>
                <w:szCs w:val="24"/>
                <w:lang w:val="bg"/>
              </w:rPr>
            </w:pPr>
          </w:p>
        </w:tc>
        <w:tc>
          <w:tcPr>
            <w:tcW w:w="1085" w:type="dxa"/>
            <w:tcBorders>
              <w:top w:val="single" w:sz="4" w:space="0" w:color="auto"/>
              <w:left w:val="single" w:sz="4" w:space="0" w:color="auto"/>
            </w:tcBorders>
            <w:shd w:val="clear" w:color="auto" w:fill="ADAEB1"/>
          </w:tcPr>
          <w:p w:rsidR="00ED7F3D" w:rsidRPr="00ED7F3D" w:rsidRDefault="00ED7F3D" w:rsidP="000B5786">
            <w:pPr>
              <w:widowControl w:val="0"/>
              <w:rPr>
                <w:rFonts w:ascii="Times New Roman" w:hAnsi="Times New Roman" w:cs="Times New Roman"/>
                <w:color w:val="000000"/>
                <w:sz w:val="24"/>
                <w:szCs w:val="24"/>
                <w:lang w:val="bg"/>
              </w:rPr>
            </w:pPr>
          </w:p>
        </w:tc>
        <w:tc>
          <w:tcPr>
            <w:tcW w:w="912" w:type="dxa"/>
            <w:tcBorders>
              <w:top w:val="single" w:sz="4" w:space="0" w:color="auto"/>
              <w:left w:val="single" w:sz="4" w:space="0" w:color="auto"/>
            </w:tcBorders>
            <w:shd w:val="clear" w:color="auto" w:fill="ADAEB1"/>
          </w:tcPr>
          <w:p w:rsidR="00ED7F3D" w:rsidRPr="00ED7F3D" w:rsidRDefault="00ED7F3D" w:rsidP="000B5786">
            <w:pPr>
              <w:widowControl w:val="0"/>
              <w:rPr>
                <w:rFonts w:ascii="Times New Roman" w:hAnsi="Times New Roman" w:cs="Times New Roman"/>
                <w:color w:val="000000"/>
                <w:sz w:val="24"/>
                <w:szCs w:val="24"/>
                <w:lang w:val="bg"/>
              </w:rPr>
            </w:pPr>
          </w:p>
        </w:tc>
        <w:tc>
          <w:tcPr>
            <w:tcW w:w="1416" w:type="dxa"/>
            <w:tcBorders>
              <w:top w:val="single" w:sz="4" w:space="0" w:color="auto"/>
              <w:left w:val="single" w:sz="4" w:space="0" w:color="auto"/>
              <w:right w:val="single" w:sz="4" w:space="0" w:color="auto"/>
            </w:tcBorders>
            <w:shd w:val="clear" w:color="auto" w:fill="ADAEB1"/>
          </w:tcPr>
          <w:p w:rsidR="00ED7F3D" w:rsidRPr="00ED7F3D" w:rsidRDefault="00ED7F3D" w:rsidP="000B5786">
            <w:pPr>
              <w:widowControl w:val="0"/>
              <w:rPr>
                <w:rFonts w:ascii="Times New Roman" w:hAnsi="Times New Roman" w:cs="Times New Roman"/>
                <w:color w:val="000000"/>
                <w:sz w:val="24"/>
                <w:szCs w:val="24"/>
                <w:lang w:val="bg"/>
              </w:rPr>
            </w:pPr>
          </w:p>
        </w:tc>
      </w:tr>
      <w:tr w:rsidR="00ED7F3D" w:rsidRPr="00ED7F3D" w:rsidTr="000B5786">
        <w:trPr>
          <w:trHeight w:hRule="exact" w:val="370"/>
          <w:jc w:val="center"/>
        </w:trPr>
        <w:tc>
          <w:tcPr>
            <w:tcW w:w="1465" w:type="dxa"/>
            <w:tcBorders>
              <w:top w:val="single" w:sz="4" w:space="0" w:color="auto"/>
              <w:left w:val="single" w:sz="4" w:space="0" w:color="auto"/>
            </w:tcBorders>
            <w:shd w:val="clear" w:color="auto" w:fill="auto"/>
            <w:vAlign w:val="center"/>
          </w:tcPr>
          <w:p w:rsidR="00ED7F3D" w:rsidRPr="00ED7F3D" w:rsidRDefault="00ED7F3D" w:rsidP="000B5786">
            <w:pPr>
              <w:widowControl w:val="0"/>
              <w:rPr>
                <w:rFonts w:ascii="Times New Roman" w:hAnsi="Times New Roman" w:cs="Times New Roman"/>
                <w:color w:val="221E20"/>
                <w:sz w:val="24"/>
                <w:szCs w:val="24"/>
                <w:lang w:val="bg"/>
              </w:rPr>
            </w:pPr>
            <w:r w:rsidRPr="00ED7F3D">
              <w:rPr>
                <w:rFonts w:ascii="Times New Roman" w:eastAsia="Arial" w:hAnsi="Times New Roman" w:cs="Times New Roman"/>
                <w:color w:val="221E20"/>
                <w:sz w:val="24"/>
                <w:szCs w:val="24"/>
                <w:lang w:val="bg"/>
              </w:rPr>
              <w:t>Малко вероятно</w:t>
            </w:r>
          </w:p>
        </w:tc>
        <w:tc>
          <w:tcPr>
            <w:tcW w:w="1238" w:type="dxa"/>
            <w:tcBorders>
              <w:top w:val="single" w:sz="4" w:space="0" w:color="auto"/>
              <w:left w:val="single" w:sz="4" w:space="0" w:color="auto"/>
            </w:tcBorders>
            <w:shd w:val="clear" w:color="auto" w:fill="auto"/>
          </w:tcPr>
          <w:p w:rsidR="00ED7F3D" w:rsidRPr="00ED7F3D" w:rsidRDefault="00ED7F3D" w:rsidP="000B5786">
            <w:pPr>
              <w:widowControl w:val="0"/>
              <w:rPr>
                <w:rFonts w:ascii="Times New Roman" w:hAnsi="Times New Roman" w:cs="Times New Roman"/>
                <w:color w:val="000000"/>
                <w:sz w:val="24"/>
                <w:szCs w:val="24"/>
                <w:lang w:val="bg"/>
              </w:rPr>
            </w:pPr>
          </w:p>
        </w:tc>
        <w:tc>
          <w:tcPr>
            <w:tcW w:w="994" w:type="dxa"/>
            <w:tcBorders>
              <w:top w:val="single" w:sz="4" w:space="0" w:color="auto"/>
              <w:left w:val="single" w:sz="4" w:space="0" w:color="auto"/>
            </w:tcBorders>
            <w:shd w:val="clear" w:color="auto" w:fill="DEDFE9"/>
          </w:tcPr>
          <w:p w:rsidR="00ED7F3D" w:rsidRPr="00ED7F3D" w:rsidRDefault="00ED7F3D" w:rsidP="000B5786">
            <w:pPr>
              <w:widowControl w:val="0"/>
              <w:rPr>
                <w:rFonts w:ascii="Times New Roman" w:hAnsi="Times New Roman" w:cs="Times New Roman"/>
                <w:color w:val="000000"/>
                <w:sz w:val="24"/>
                <w:szCs w:val="24"/>
                <w:lang w:val="bg"/>
              </w:rPr>
            </w:pPr>
          </w:p>
        </w:tc>
        <w:tc>
          <w:tcPr>
            <w:tcW w:w="1085" w:type="dxa"/>
            <w:tcBorders>
              <w:top w:val="single" w:sz="4" w:space="0" w:color="auto"/>
              <w:left w:val="single" w:sz="4" w:space="0" w:color="auto"/>
            </w:tcBorders>
            <w:shd w:val="clear" w:color="auto" w:fill="DEDFE9"/>
          </w:tcPr>
          <w:p w:rsidR="00ED7F3D" w:rsidRPr="00ED7F3D" w:rsidRDefault="00ED7F3D" w:rsidP="000B5786">
            <w:pPr>
              <w:widowControl w:val="0"/>
              <w:rPr>
                <w:rFonts w:ascii="Times New Roman" w:hAnsi="Times New Roman" w:cs="Times New Roman"/>
                <w:color w:val="000000"/>
                <w:sz w:val="24"/>
                <w:szCs w:val="24"/>
                <w:lang w:val="bg"/>
              </w:rPr>
            </w:pPr>
          </w:p>
        </w:tc>
        <w:tc>
          <w:tcPr>
            <w:tcW w:w="912" w:type="dxa"/>
            <w:tcBorders>
              <w:top w:val="single" w:sz="4" w:space="0" w:color="auto"/>
              <w:left w:val="single" w:sz="4" w:space="0" w:color="auto"/>
            </w:tcBorders>
            <w:shd w:val="clear" w:color="auto" w:fill="ADAEB1"/>
          </w:tcPr>
          <w:p w:rsidR="00ED7F3D" w:rsidRPr="00ED7F3D" w:rsidRDefault="00ED7F3D" w:rsidP="000B5786">
            <w:pPr>
              <w:widowControl w:val="0"/>
              <w:rPr>
                <w:rFonts w:ascii="Times New Roman" w:hAnsi="Times New Roman" w:cs="Times New Roman"/>
                <w:color w:val="000000"/>
                <w:sz w:val="24"/>
                <w:szCs w:val="24"/>
                <w:lang w:val="bg"/>
              </w:rPr>
            </w:pPr>
          </w:p>
        </w:tc>
        <w:tc>
          <w:tcPr>
            <w:tcW w:w="1416" w:type="dxa"/>
            <w:tcBorders>
              <w:top w:val="single" w:sz="4" w:space="0" w:color="auto"/>
              <w:left w:val="single" w:sz="4" w:space="0" w:color="auto"/>
              <w:right w:val="single" w:sz="4" w:space="0" w:color="auto"/>
            </w:tcBorders>
            <w:shd w:val="clear" w:color="auto" w:fill="ADAEB1"/>
          </w:tcPr>
          <w:p w:rsidR="00ED7F3D" w:rsidRPr="00ED7F3D" w:rsidRDefault="00ED7F3D" w:rsidP="000B5786">
            <w:pPr>
              <w:widowControl w:val="0"/>
              <w:rPr>
                <w:rFonts w:ascii="Times New Roman" w:hAnsi="Times New Roman" w:cs="Times New Roman"/>
                <w:color w:val="000000"/>
                <w:sz w:val="24"/>
                <w:szCs w:val="24"/>
                <w:lang w:val="bg"/>
              </w:rPr>
            </w:pPr>
          </w:p>
        </w:tc>
      </w:tr>
      <w:tr w:rsidR="00ED7F3D" w:rsidRPr="00ED7F3D" w:rsidTr="000B5786">
        <w:trPr>
          <w:trHeight w:hRule="exact" w:val="384"/>
          <w:jc w:val="center"/>
        </w:trPr>
        <w:tc>
          <w:tcPr>
            <w:tcW w:w="1465" w:type="dxa"/>
            <w:tcBorders>
              <w:top w:val="single" w:sz="4" w:space="0" w:color="auto"/>
              <w:left w:val="single" w:sz="4" w:space="0" w:color="auto"/>
              <w:bottom w:val="single" w:sz="4" w:space="0" w:color="auto"/>
            </w:tcBorders>
            <w:shd w:val="clear" w:color="auto" w:fill="auto"/>
            <w:vAlign w:val="center"/>
          </w:tcPr>
          <w:p w:rsidR="00ED7F3D" w:rsidRPr="00ED7F3D" w:rsidRDefault="00ED7F3D" w:rsidP="000B5786">
            <w:pPr>
              <w:widowControl w:val="0"/>
              <w:rPr>
                <w:rFonts w:ascii="Times New Roman" w:hAnsi="Times New Roman" w:cs="Times New Roman"/>
                <w:color w:val="221E20"/>
                <w:sz w:val="24"/>
                <w:szCs w:val="24"/>
                <w:lang w:val="bg"/>
              </w:rPr>
            </w:pPr>
            <w:r w:rsidRPr="00ED7F3D">
              <w:rPr>
                <w:rFonts w:ascii="Times New Roman" w:eastAsia="Arial" w:hAnsi="Times New Roman" w:cs="Times New Roman"/>
                <w:color w:val="221E20"/>
                <w:sz w:val="24"/>
                <w:szCs w:val="24"/>
                <w:lang w:val="bg"/>
              </w:rPr>
              <w:t>Редки</w:t>
            </w:r>
          </w:p>
        </w:tc>
        <w:tc>
          <w:tcPr>
            <w:tcW w:w="1238" w:type="dxa"/>
            <w:tcBorders>
              <w:top w:val="single" w:sz="4" w:space="0" w:color="auto"/>
              <w:left w:val="single" w:sz="4" w:space="0" w:color="auto"/>
              <w:bottom w:val="single" w:sz="4" w:space="0" w:color="auto"/>
            </w:tcBorders>
            <w:shd w:val="clear" w:color="auto" w:fill="auto"/>
          </w:tcPr>
          <w:p w:rsidR="00ED7F3D" w:rsidRPr="00ED7F3D" w:rsidRDefault="00ED7F3D" w:rsidP="000B5786">
            <w:pPr>
              <w:widowControl w:val="0"/>
              <w:rPr>
                <w:rFonts w:ascii="Times New Roman" w:hAnsi="Times New Roman" w:cs="Times New Roman"/>
                <w:color w:val="000000"/>
                <w:sz w:val="24"/>
                <w:szCs w:val="24"/>
                <w:lang w:val="bg"/>
              </w:rPr>
            </w:pPr>
          </w:p>
        </w:tc>
        <w:tc>
          <w:tcPr>
            <w:tcW w:w="994" w:type="dxa"/>
            <w:tcBorders>
              <w:top w:val="single" w:sz="4" w:space="0" w:color="auto"/>
              <w:left w:val="single" w:sz="4" w:space="0" w:color="auto"/>
              <w:bottom w:val="single" w:sz="4" w:space="0" w:color="auto"/>
            </w:tcBorders>
            <w:shd w:val="clear" w:color="auto" w:fill="auto"/>
          </w:tcPr>
          <w:p w:rsidR="00ED7F3D" w:rsidRPr="00ED7F3D" w:rsidRDefault="00ED7F3D" w:rsidP="000B5786">
            <w:pPr>
              <w:widowControl w:val="0"/>
              <w:rPr>
                <w:rFonts w:ascii="Times New Roman" w:hAnsi="Times New Roman" w:cs="Times New Roman"/>
                <w:color w:val="000000"/>
                <w:sz w:val="24"/>
                <w:szCs w:val="24"/>
                <w:lang w:val="bg"/>
              </w:rPr>
            </w:pPr>
          </w:p>
        </w:tc>
        <w:tc>
          <w:tcPr>
            <w:tcW w:w="1085" w:type="dxa"/>
            <w:tcBorders>
              <w:top w:val="single" w:sz="4" w:space="0" w:color="auto"/>
              <w:left w:val="single" w:sz="4" w:space="0" w:color="auto"/>
              <w:bottom w:val="single" w:sz="4" w:space="0" w:color="auto"/>
            </w:tcBorders>
            <w:shd w:val="clear" w:color="auto" w:fill="DEDFE9"/>
          </w:tcPr>
          <w:p w:rsidR="00ED7F3D" w:rsidRPr="00ED7F3D" w:rsidRDefault="00ED7F3D" w:rsidP="000B5786">
            <w:pPr>
              <w:widowControl w:val="0"/>
              <w:rPr>
                <w:rFonts w:ascii="Times New Roman" w:hAnsi="Times New Roman" w:cs="Times New Roman"/>
                <w:color w:val="000000"/>
                <w:sz w:val="24"/>
                <w:szCs w:val="24"/>
                <w:lang w:val="bg"/>
              </w:rPr>
            </w:pPr>
          </w:p>
        </w:tc>
        <w:tc>
          <w:tcPr>
            <w:tcW w:w="912" w:type="dxa"/>
            <w:tcBorders>
              <w:top w:val="single" w:sz="4" w:space="0" w:color="auto"/>
              <w:left w:val="single" w:sz="4" w:space="0" w:color="auto"/>
              <w:bottom w:val="single" w:sz="4" w:space="0" w:color="auto"/>
            </w:tcBorders>
            <w:shd w:val="clear" w:color="auto" w:fill="DEDFE9"/>
          </w:tcPr>
          <w:p w:rsidR="00ED7F3D" w:rsidRPr="00ED7F3D" w:rsidRDefault="00ED7F3D" w:rsidP="000B5786">
            <w:pPr>
              <w:widowControl w:val="0"/>
              <w:rPr>
                <w:rFonts w:ascii="Times New Roman" w:hAnsi="Times New Roman" w:cs="Times New Roman"/>
                <w:color w:val="000000"/>
                <w:sz w:val="24"/>
                <w:szCs w:val="24"/>
                <w:lang w:val="bg"/>
              </w:rPr>
            </w:pPr>
          </w:p>
        </w:tc>
        <w:tc>
          <w:tcPr>
            <w:tcW w:w="1416" w:type="dxa"/>
            <w:tcBorders>
              <w:top w:val="single" w:sz="4" w:space="0" w:color="auto"/>
              <w:left w:val="single" w:sz="4" w:space="0" w:color="auto"/>
              <w:bottom w:val="single" w:sz="4" w:space="0" w:color="auto"/>
              <w:right w:val="single" w:sz="4" w:space="0" w:color="auto"/>
            </w:tcBorders>
            <w:shd w:val="clear" w:color="auto" w:fill="DEDFE9"/>
          </w:tcPr>
          <w:p w:rsidR="00ED7F3D" w:rsidRPr="00ED7F3D" w:rsidRDefault="00ED7F3D" w:rsidP="000B5786">
            <w:pPr>
              <w:widowControl w:val="0"/>
              <w:rPr>
                <w:rFonts w:ascii="Times New Roman" w:hAnsi="Times New Roman" w:cs="Times New Roman"/>
                <w:color w:val="000000"/>
                <w:sz w:val="24"/>
                <w:szCs w:val="24"/>
                <w:lang w:val="bg"/>
              </w:rPr>
            </w:pPr>
          </w:p>
        </w:tc>
      </w:tr>
    </w:tbl>
    <w:p w:rsidR="00ED7F3D" w:rsidRPr="00ED7F3D" w:rsidRDefault="00ED7F3D" w:rsidP="00ED7F3D">
      <w:pPr>
        <w:widowControl w:val="0"/>
        <w:spacing w:after="299" w:line="1" w:lineRule="exact"/>
        <w:rPr>
          <w:rFonts w:ascii="Times New Roman" w:hAnsi="Times New Roman" w:cs="Times New Roman"/>
          <w:color w:val="000000"/>
          <w:sz w:val="24"/>
          <w:szCs w:val="24"/>
          <w:lang w:val="bg"/>
        </w:rPr>
      </w:pPr>
    </w:p>
    <w:p w:rsidR="00ED7F3D" w:rsidRPr="00ED7F3D" w:rsidRDefault="00ED7F3D" w:rsidP="00ED7F3D">
      <w:pPr>
        <w:widowControl w:val="0"/>
        <w:ind w:left="5"/>
        <w:rPr>
          <w:rFonts w:ascii="Times New Roman" w:eastAsia="Arial" w:hAnsi="Times New Roman" w:cs="Times New Roman"/>
          <w:color w:val="221E20"/>
          <w:sz w:val="24"/>
          <w:szCs w:val="24"/>
          <w:lang w:val="bg"/>
        </w:rPr>
      </w:pPr>
      <w:r w:rsidRPr="00ED7F3D">
        <w:rPr>
          <w:rFonts w:ascii="Times New Roman" w:eastAsia="Arial" w:hAnsi="Times New Roman" w:cs="Times New Roman"/>
          <w:color w:val="221E20"/>
          <w:sz w:val="24"/>
          <w:szCs w:val="24"/>
          <w:lang w:val="bg"/>
        </w:rPr>
        <w:t>Примери за определения на категориите вероятност и тежест, които могат да се използват при оценката на риска</w:t>
      </w:r>
    </w:p>
    <w:p w:rsidR="00ED7F3D" w:rsidRPr="00ED7F3D" w:rsidRDefault="00ED7F3D" w:rsidP="00ED7F3D">
      <w:pPr>
        <w:widowControl w:val="0"/>
        <w:ind w:left="5"/>
        <w:rPr>
          <w:rFonts w:ascii="Times New Roman" w:eastAsia="Arial" w:hAnsi="Times New Roman" w:cs="Times New Roman"/>
          <w:b/>
          <w:bCs/>
          <w:color w:val="221E20"/>
          <w:sz w:val="24"/>
          <w:szCs w:val="24"/>
          <w:lang w:val="bg"/>
        </w:rPr>
      </w:pPr>
    </w:p>
    <w:tbl>
      <w:tblPr>
        <w:tblStyle w:val="TableGrid"/>
        <w:tblW w:w="0" w:type="auto"/>
        <w:tblInd w:w="421" w:type="dxa"/>
        <w:tblLook w:val="04A0" w:firstRow="1" w:lastRow="0" w:firstColumn="1" w:lastColumn="0" w:noHBand="0" w:noVBand="1"/>
      </w:tblPr>
      <w:tblGrid>
        <w:gridCol w:w="2979"/>
        <w:gridCol w:w="5662"/>
      </w:tblGrid>
      <w:tr w:rsidR="00ED7F3D" w:rsidRPr="00ED7F3D" w:rsidTr="000B5786">
        <w:tc>
          <w:tcPr>
            <w:tcW w:w="8788" w:type="dxa"/>
            <w:gridSpan w:val="2"/>
            <w:shd w:val="clear" w:color="auto" w:fill="BDD6EE" w:themeFill="accent1" w:themeFillTint="66"/>
          </w:tcPr>
          <w:p w:rsidR="00ED7F3D" w:rsidRPr="00ED7F3D" w:rsidRDefault="00ED7F3D" w:rsidP="000B5786">
            <w:pPr>
              <w:rPr>
                <w:rFonts w:ascii="Times New Roman" w:hAnsi="Times New Roman" w:cs="Times New Roman"/>
                <w:sz w:val="24"/>
                <w:szCs w:val="24"/>
                <w:lang w:val="bg-BG"/>
              </w:rPr>
            </w:pPr>
            <w:r w:rsidRPr="00ED7F3D">
              <w:rPr>
                <w:rFonts w:ascii="Times New Roman" w:hAnsi="Times New Roman" w:cs="Times New Roman"/>
                <w:sz w:val="24"/>
                <w:szCs w:val="24"/>
                <w:lang w:val="bg-BG"/>
              </w:rPr>
              <w:t>Елемент                                              Определение</w:t>
            </w:r>
          </w:p>
        </w:tc>
      </w:tr>
      <w:tr w:rsidR="00ED7F3D" w:rsidRPr="00ED7F3D" w:rsidTr="000B5786">
        <w:tc>
          <w:tcPr>
            <w:tcW w:w="8788" w:type="dxa"/>
            <w:gridSpan w:val="2"/>
            <w:shd w:val="clear" w:color="auto" w:fill="F4B083" w:themeFill="accent2" w:themeFillTint="99"/>
          </w:tcPr>
          <w:p w:rsidR="00ED7F3D" w:rsidRPr="00ED7F3D" w:rsidRDefault="00ED7F3D" w:rsidP="000B5786">
            <w:pPr>
              <w:rPr>
                <w:rFonts w:ascii="Times New Roman" w:hAnsi="Times New Roman" w:cs="Times New Roman"/>
                <w:sz w:val="24"/>
                <w:szCs w:val="24"/>
                <w:lang w:val="bg-BG"/>
              </w:rPr>
            </w:pPr>
            <w:r w:rsidRPr="00ED7F3D">
              <w:rPr>
                <w:rFonts w:ascii="Times New Roman" w:hAnsi="Times New Roman" w:cs="Times New Roman"/>
                <w:sz w:val="24"/>
                <w:szCs w:val="24"/>
                <w:lang w:val="bg-BG"/>
              </w:rPr>
              <w:t>Категории вероятности</w:t>
            </w:r>
          </w:p>
        </w:tc>
      </w:tr>
      <w:tr w:rsidR="00ED7F3D" w:rsidRPr="00ED7F3D" w:rsidTr="000B5786">
        <w:tc>
          <w:tcPr>
            <w:tcW w:w="3020" w:type="dxa"/>
          </w:tcPr>
          <w:p w:rsidR="00ED7F3D" w:rsidRPr="00ED7F3D" w:rsidRDefault="00ED7F3D" w:rsidP="000B5786">
            <w:pPr>
              <w:rPr>
                <w:rFonts w:ascii="Times New Roman" w:hAnsi="Times New Roman" w:cs="Times New Roman"/>
                <w:sz w:val="24"/>
                <w:szCs w:val="24"/>
                <w:lang w:val="bg-BG"/>
              </w:rPr>
            </w:pPr>
            <w:r w:rsidRPr="00ED7F3D">
              <w:rPr>
                <w:rFonts w:ascii="Times New Roman" w:hAnsi="Times New Roman" w:cs="Times New Roman"/>
                <w:sz w:val="24"/>
                <w:szCs w:val="24"/>
                <w:lang w:val="bg-BG"/>
              </w:rPr>
              <w:t>Почти сигурно</w:t>
            </w:r>
          </w:p>
        </w:tc>
        <w:tc>
          <w:tcPr>
            <w:tcW w:w="5768" w:type="dxa"/>
          </w:tcPr>
          <w:p w:rsidR="00ED7F3D" w:rsidRPr="00ED7F3D" w:rsidRDefault="00ED7F3D" w:rsidP="000B5786">
            <w:pPr>
              <w:rPr>
                <w:rFonts w:ascii="Times New Roman" w:hAnsi="Times New Roman" w:cs="Times New Roman"/>
                <w:sz w:val="24"/>
                <w:szCs w:val="24"/>
                <w:lang w:val="bg-BG"/>
              </w:rPr>
            </w:pPr>
            <w:r w:rsidRPr="00ED7F3D">
              <w:rPr>
                <w:rFonts w:ascii="Times New Roman" w:hAnsi="Times New Roman" w:cs="Times New Roman"/>
                <w:sz w:val="24"/>
                <w:szCs w:val="24"/>
                <w:lang w:val="bg-BG"/>
              </w:rPr>
              <w:t>Веднъж на ден</w:t>
            </w:r>
          </w:p>
        </w:tc>
      </w:tr>
      <w:tr w:rsidR="00ED7F3D" w:rsidRPr="00ED7F3D" w:rsidTr="000B5786">
        <w:tc>
          <w:tcPr>
            <w:tcW w:w="3020" w:type="dxa"/>
          </w:tcPr>
          <w:p w:rsidR="00ED7F3D" w:rsidRPr="00ED7F3D" w:rsidRDefault="00ED7F3D" w:rsidP="000B5786">
            <w:pPr>
              <w:rPr>
                <w:rFonts w:ascii="Times New Roman" w:hAnsi="Times New Roman" w:cs="Times New Roman"/>
                <w:sz w:val="24"/>
                <w:szCs w:val="24"/>
                <w:lang w:val="bg-BG"/>
              </w:rPr>
            </w:pPr>
            <w:r w:rsidRPr="00ED7F3D">
              <w:rPr>
                <w:rFonts w:ascii="Times New Roman" w:hAnsi="Times New Roman" w:cs="Times New Roman"/>
                <w:sz w:val="24"/>
                <w:szCs w:val="24"/>
                <w:lang w:val="bg-BG"/>
              </w:rPr>
              <w:t>Вероятно</w:t>
            </w:r>
          </w:p>
        </w:tc>
        <w:tc>
          <w:tcPr>
            <w:tcW w:w="5768" w:type="dxa"/>
          </w:tcPr>
          <w:p w:rsidR="00ED7F3D" w:rsidRPr="00ED7F3D" w:rsidRDefault="00ED7F3D" w:rsidP="000B5786">
            <w:pPr>
              <w:rPr>
                <w:rFonts w:ascii="Times New Roman" w:hAnsi="Times New Roman" w:cs="Times New Roman"/>
                <w:sz w:val="24"/>
                <w:szCs w:val="24"/>
                <w:lang w:val="bg-BG"/>
              </w:rPr>
            </w:pPr>
            <w:r w:rsidRPr="00ED7F3D">
              <w:rPr>
                <w:rFonts w:ascii="Times New Roman" w:hAnsi="Times New Roman" w:cs="Times New Roman"/>
                <w:sz w:val="24"/>
                <w:szCs w:val="24"/>
                <w:lang w:val="bg-BG"/>
              </w:rPr>
              <w:t>Веднъж седмично</w:t>
            </w:r>
          </w:p>
        </w:tc>
      </w:tr>
      <w:tr w:rsidR="00ED7F3D" w:rsidRPr="00ED7F3D" w:rsidTr="000B5786">
        <w:tc>
          <w:tcPr>
            <w:tcW w:w="3020" w:type="dxa"/>
          </w:tcPr>
          <w:p w:rsidR="00ED7F3D" w:rsidRPr="00ED7F3D" w:rsidRDefault="00ED7F3D" w:rsidP="000B5786">
            <w:pPr>
              <w:rPr>
                <w:rFonts w:ascii="Times New Roman" w:hAnsi="Times New Roman" w:cs="Times New Roman"/>
                <w:sz w:val="24"/>
                <w:szCs w:val="24"/>
                <w:lang w:val="bg-BG"/>
              </w:rPr>
            </w:pPr>
            <w:r w:rsidRPr="00ED7F3D">
              <w:rPr>
                <w:rFonts w:ascii="Times New Roman" w:hAnsi="Times New Roman" w:cs="Times New Roman"/>
                <w:sz w:val="24"/>
                <w:szCs w:val="24"/>
                <w:lang w:val="bg-BG"/>
              </w:rPr>
              <w:t xml:space="preserve">Умерено </w:t>
            </w:r>
          </w:p>
        </w:tc>
        <w:tc>
          <w:tcPr>
            <w:tcW w:w="5768" w:type="dxa"/>
          </w:tcPr>
          <w:p w:rsidR="00ED7F3D" w:rsidRPr="00ED7F3D" w:rsidRDefault="00ED7F3D" w:rsidP="000B5786">
            <w:pPr>
              <w:rPr>
                <w:rFonts w:ascii="Times New Roman" w:hAnsi="Times New Roman" w:cs="Times New Roman"/>
                <w:sz w:val="24"/>
                <w:szCs w:val="24"/>
                <w:lang w:val="bg-BG"/>
              </w:rPr>
            </w:pPr>
            <w:r w:rsidRPr="00ED7F3D">
              <w:rPr>
                <w:rFonts w:ascii="Times New Roman" w:hAnsi="Times New Roman" w:cs="Times New Roman"/>
                <w:sz w:val="24"/>
                <w:szCs w:val="24"/>
                <w:lang w:val="bg-BG"/>
              </w:rPr>
              <w:t>Веднъж месечно</w:t>
            </w:r>
          </w:p>
        </w:tc>
      </w:tr>
      <w:tr w:rsidR="00ED7F3D" w:rsidRPr="00ED7F3D" w:rsidTr="000B5786">
        <w:tc>
          <w:tcPr>
            <w:tcW w:w="3020" w:type="dxa"/>
          </w:tcPr>
          <w:p w:rsidR="00ED7F3D" w:rsidRPr="00ED7F3D" w:rsidRDefault="00ED7F3D" w:rsidP="000B5786">
            <w:pPr>
              <w:rPr>
                <w:rFonts w:ascii="Times New Roman" w:hAnsi="Times New Roman" w:cs="Times New Roman"/>
                <w:sz w:val="24"/>
                <w:szCs w:val="24"/>
                <w:lang w:val="bg-BG"/>
              </w:rPr>
            </w:pPr>
            <w:r w:rsidRPr="00ED7F3D">
              <w:rPr>
                <w:rFonts w:ascii="Times New Roman" w:hAnsi="Times New Roman" w:cs="Times New Roman"/>
                <w:sz w:val="24"/>
                <w:szCs w:val="24"/>
                <w:lang w:val="bg-BG"/>
              </w:rPr>
              <w:t>вероятно</w:t>
            </w:r>
          </w:p>
        </w:tc>
        <w:tc>
          <w:tcPr>
            <w:tcW w:w="5768" w:type="dxa"/>
          </w:tcPr>
          <w:p w:rsidR="00ED7F3D" w:rsidRPr="00ED7F3D" w:rsidRDefault="00ED7F3D" w:rsidP="000B5786">
            <w:pPr>
              <w:rPr>
                <w:rFonts w:ascii="Times New Roman" w:hAnsi="Times New Roman" w:cs="Times New Roman"/>
                <w:sz w:val="24"/>
                <w:szCs w:val="24"/>
                <w:lang w:val="bg-BG"/>
              </w:rPr>
            </w:pPr>
            <w:r w:rsidRPr="00ED7F3D">
              <w:rPr>
                <w:rFonts w:ascii="Times New Roman" w:hAnsi="Times New Roman" w:cs="Times New Roman"/>
                <w:sz w:val="24"/>
                <w:szCs w:val="24"/>
                <w:lang w:val="bg-BG"/>
              </w:rPr>
              <w:t>Веднъж годишно</w:t>
            </w:r>
          </w:p>
        </w:tc>
      </w:tr>
      <w:tr w:rsidR="00ED7F3D" w:rsidRPr="00ED7F3D" w:rsidTr="000B5786">
        <w:tc>
          <w:tcPr>
            <w:tcW w:w="3020" w:type="dxa"/>
          </w:tcPr>
          <w:p w:rsidR="00ED7F3D" w:rsidRPr="00ED7F3D" w:rsidRDefault="00ED7F3D" w:rsidP="000B5786">
            <w:pPr>
              <w:rPr>
                <w:rFonts w:ascii="Times New Roman" w:hAnsi="Times New Roman" w:cs="Times New Roman"/>
                <w:sz w:val="24"/>
                <w:szCs w:val="24"/>
                <w:lang w:val="bg-BG"/>
              </w:rPr>
            </w:pPr>
            <w:r w:rsidRPr="00ED7F3D">
              <w:rPr>
                <w:rFonts w:ascii="Times New Roman" w:hAnsi="Times New Roman" w:cs="Times New Roman"/>
                <w:sz w:val="24"/>
                <w:szCs w:val="24"/>
                <w:lang w:val="bg-BG"/>
              </w:rPr>
              <w:t>Малко вероятно</w:t>
            </w:r>
          </w:p>
        </w:tc>
        <w:tc>
          <w:tcPr>
            <w:tcW w:w="5768" w:type="dxa"/>
          </w:tcPr>
          <w:p w:rsidR="00ED7F3D" w:rsidRPr="00ED7F3D" w:rsidRDefault="00ED7F3D" w:rsidP="000B5786">
            <w:pPr>
              <w:rPr>
                <w:rFonts w:ascii="Times New Roman" w:hAnsi="Times New Roman" w:cs="Times New Roman"/>
                <w:sz w:val="24"/>
                <w:szCs w:val="24"/>
                <w:lang w:val="bg-BG"/>
              </w:rPr>
            </w:pPr>
            <w:r w:rsidRPr="00ED7F3D">
              <w:rPr>
                <w:rFonts w:ascii="Times New Roman" w:hAnsi="Times New Roman" w:cs="Times New Roman"/>
                <w:sz w:val="24"/>
                <w:szCs w:val="24"/>
                <w:lang w:val="bg-BG"/>
              </w:rPr>
              <w:t>Веднъж на всеки пет години</w:t>
            </w:r>
          </w:p>
        </w:tc>
      </w:tr>
      <w:tr w:rsidR="00ED7F3D" w:rsidRPr="00ED7F3D" w:rsidTr="000B5786">
        <w:tc>
          <w:tcPr>
            <w:tcW w:w="8788" w:type="dxa"/>
            <w:gridSpan w:val="2"/>
            <w:shd w:val="clear" w:color="auto" w:fill="F4B083" w:themeFill="accent2" w:themeFillTint="99"/>
          </w:tcPr>
          <w:p w:rsidR="00ED7F3D" w:rsidRPr="00ED7F3D" w:rsidRDefault="00ED7F3D" w:rsidP="000B5786">
            <w:pPr>
              <w:rPr>
                <w:rFonts w:ascii="Times New Roman" w:hAnsi="Times New Roman" w:cs="Times New Roman"/>
                <w:sz w:val="24"/>
                <w:szCs w:val="24"/>
                <w:lang w:val="bg-BG"/>
              </w:rPr>
            </w:pPr>
            <w:r w:rsidRPr="00ED7F3D">
              <w:rPr>
                <w:rFonts w:ascii="Times New Roman" w:hAnsi="Times New Roman" w:cs="Times New Roman"/>
                <w:sz w:val="24"/>
                <w:szCs w:val="24"/>
                <w:lang w:val="bg-BG"/>
              </w:rPr>
              <w:t>Категории на тежестта</w:t>
            </w:r>
          </w:p>
        </w:tc>
      </w:tr>
      <w:tr w:rsidR="00ED7F3D" w:rsidRPr="00ED7F3D" w:rsidTr="000B5786">
        <w:tc>
          <w:tcPr>
            <w:tcW w:w="3020" w:type="dxa"/>
          </w:tcPr>
          <w:p w:rsidR="00ED7F3D" w:rsidRPr="00ED7F3D" w:rsidRDefault="00ED7F3D" w:rsidP="000B5786">
            <w:pPr>
              <w:ind w:firstLine="33"/>
              <w:rPr>
                <w:rFonts w:ascii="Times New Roman" w:hAnsi="Times New Roman" w:cs="Times New Roman"/>
                <w:sz w:val="24"/>
                <w:szCs w:val="24"/>
                <w:lang w:val="bg-BG"/>
              </w:rPr>
            </w:pPr>
            <w:r w:rsidRPr="00ED7F3D">
              <w:rPr>
                <w:rFonts w:ascii="Times New Roman" w:hAnsi="Times New Roman" w:cs="Times New Roman"/>
                <w:sz w:val="24"/>
                <w:szCs w:val="24"/>
                <w:lang w:val="bg-BG"/>
              </w:rPr>
              <w:t>Катастрофална</w:t>
            </w:r>
          </w:p>
        </w:tc>
        <w:tc>
          <w:tcPr>
            <w:tcW w:w="5768" w:type="dxa"/>
          </w:tcPr>
          <w:p w:rsidR="00ED7F3D" w:rsidRPr="00ED7F3D" w:rsidRDefault="00ED7F3D" w:rsidP="000B5786">
            <w:pPr>
              <w:rPr>
                <w:rFonts w:ascii="Times New Roman" w:hAnsi="Times New Roman" w:cs="Times New Roman"/>
                <w:sz w:val="24"/>
                <w:szCs w:val="24"/>
                <w:lang w:val="bg-BG"/>
              </w:rPr>
            </w:pPr>
            <w:r w:rsidRPr="00ED7F3D">
              <w:rPr>
                <w:rFonts w:ascii="Times New Roman" w:hAnsi="Times New Roman" w:cs="Times New Roman"/>
                <w:color w:val="221E20"/>
                <w:sz w:val="24"/>
                <w:szCs w:val="24"/>
                <w:lang w:val="bg"/>
              </w:rPr>
              <w:t>Потенциално смъртоносно за всички хора, използващи сградата, включително уязвими групи (напр. имунокомпрометирани пациенти, кърмачета и възрастни хора), след остро излагане</w:t>
            </w:r>
          </w:p>
        </w:tc>
      </w:tr>
      <w:tr w:rsidR="00ED7F3D" w:rsidRPr="00ED7F3D" w:rsidTr="000B5786">
        <w:tc>
          <w:tcPr>
            <w:tcW w:w="3020" w:type="dxa"/>
          </w:tcPr>
          <w:p w:rsidR="00ED7F3D" w:rsidRPr="00ED7F3D" w:rsidRDefault="00ED7F3D" w:rsidP="000B5786">
            <w:pPr>
              <w:rPr>
                <w:rFonts w:ascii="Times New Roman" w:hAnsi="Times New Roman" w:cs="Times New Roman"/>
                <w:sz w:val="24"/>
                <w:szCs w:val="24"/>
                <w:lang w:val="bg-BG"/>
              </w:rPr>
            </w:pPr>
            <w:r w:rsidRPr="00ED7F3D">
              <w:rPr>
                <w:rFonts w:ascii="Times New Roman" w:hAnsi="Times New Roman" w:cs="Times New Roman"/>
                <w:sz w:val="24"/>
                <w:szCs w:val="24"/>
                <w:lang w:val="bg-BG"/>
              </w:rPr>
              <w:t>Голяма</w:t>
            </w:r>
          </w:p>
        </w:tc>
        <w:tc>
          <w:tcPr>
            <w:tcW w:w="5768" w:type="dxa"/>
          </w:tcPr>
          <w:p w:rsidR="00ED7F3D" w:rsidRPr="00ED7F3D" w:rsidRDefault="00ED7F3D" w:rsidP="000B5786">
            <w:pPr>
              <w:rPr>
                <w:rFonts w:ascii="Times New Roman" w:hAnsi="Times New Roman" w:cs="Times New Roman"/>
                <w:sz w:val="24"/>
                <w:szCs w:val="24"/>
                <w:lang w:val="bg-BG"/>
              </w:rPr>
            </w:pPr>
            <w:r w:rsidRPr="00ED7F3D">
              <w:rPr>
                <w:rFonts w:ascii="Times New Roman" w:hAnsi="Times New Roman" w:cs="Times New Roman"/>
                <w:color w:val="221E20"/>
                <w:sz w:val="24"/>
                <w:szCs w:val="24"/>
                <w:lang w:val="bg"/>
              </w:rPr>
              <w:t>Потенциално вредно за всички хора, използващи сградата, след остро излагане</w:t>
            </w:r>
          </w:p>
        </w:tc>
      </w:tr>
      <w:tr w:rsidR="00ED7F3D" w:rsidRPr="00ED7F3D" w:rsidTr="000B5786">
        <w:tc>
          <w:tcPr>
            <w:tcW w:w="3020" w:type="dxa"/>
          </w:tcPr>
          <w:p w:rsidR="00ED7F3D" w:rsidRPr="00ED7F3D" w:rsidRDefault="00ED7F3D" w:rsidP="000B5786">
            <w:pPr>
              <w:rPr>
                <w:rFonts w:ascii="Times New Roman" w:hAnsi="Times New Roman" w:cs="Times New Roman"/>
                <w:sz w:val="24"/>
                <w:szCs w:val="24"/>
                <w:lang w:val="bg-BG"/>
              </w:rPr>
            </w:pPr>
            <w:r w:rsidRPr="00ED7F3D">
              <w:rPr>
                <w:rFonts w:ascii="Times New Roman" w:hAnsi="Times New Roman" w:cs="Times New Roman"/>
                <w:sz w:val="24"/>
                <w:szCs w:val="24"/>
                <w:lang w:val="bg-BG"/>
              </w:rPr>
              <w:t>Умерена</w:t>
            </w:r>
          </w:p>
        </w:tc>
        <w:tc>
          <w:tcPr>
            <w:tcW w:w="5768" w:type="dxa"/>
          </w:tcPr>
          <w:p w:rsidR="00ED7F3D" w:rsidRPr="00ED7F3D" w:rsidRDefault="00ED7F3D" w:rsidP="000B5786">
            <w:pPr>
              <w:rPr>
                <w:rFonts w:ascii="Times New Roman" w:hAnsi="Times New Roman" w:cs="Times New Roman"/>
                <w:sz w:val="24"/>
                <w:szCs w:val="24"/>
                <w:lang w:val="bg-BG"/>
              </w:rPr>
            </w:pPr>
            <w:r w:rsidRPr="00ED7F3D">
              <w:rPr>
                <w:rFonts w:ascii="Times New Roman" w:hAnsi="Times New Roman" w:cs="Times New Roman"/>
                <w:color w:val="221E20"/>
                <w:sz w:val="24"/>
                <w:szCs w:val="24"/>
                <w:lang w:val="bg"/>
              </w:rPr>
              <w:t>Потенциално вредно за уязвими групи (напр. имунокомпрометирани пациенти, кърмачета и възрастни хора) след хронично излагане</w:t>
            </w:r>
          </w:p>
        </w:tc>
      </w:tr>
      <w:tr w:rsidR="00ED7F3D" w:rsidRPr="00ED7F3D" w:rsidTr="000B5786">
        <w:tc>
          <w:tcPr>
            <w:tcW w:w="3020" w:type="dxa"/>
          </w:tcPr>
          <w:p w:rsidR="00ED7F3D" w:rsidRPr="00ED7F3D" w:rsidRDefault="00ED7F3D" w:rsidP="000B5786">
            <w:pPr>
              <w:rPr>
                <w:rFonts w:ascii="Times New Roman" w:hAnsi="Times New Roman" w:cs="Times New Roman"/>
                <w:sz w:val="24"/>
                <w:szCs w:val="24"/>
                <w:lang w:val="bg-BG"/>
              </w:rPr>
            </w:pPr>
            <w:r w:rsidRPr="00ED7F3D">
              <w:rPr>
                <w:rFonts w:ascii="Times New Roman" w:hAnsi="Times New Roman" w:cs="Times New Roman"/>
                <w:sz w:val="24"/>
                <w:szCs w:val="24"/>
                <w:lang w:val="bg-BG"/>
              </w:rPr>
              <w:t>Незначително</w:t>
            </w:r>
          </w:p>
        </w:tc>
        <w:tc>
          <w:tcPr>
            <w:tcW w:w="5768" w:type="dxa"/>
          </w:tcPr>
          <w:p w:rsidR="00ED7F3D" w:rsidRPr="00ED7F3D" w:rsidRDefault="00ED7F3D" w:rsidP="000B5786">
            <w:pPr>
              <w:rPr>
                <w:rFonts w:ascii="Times New Roman" w:hAnsi="Times New Roman" w:cs="Times New Roman"/>
                <w:sz w:val="24"/>
                <w:szCs w:val="24"/>
                <w:lang w:val="bg-BG"/>
              </w:rPr>
            </w:pPr>
            <w:r w:rsidRPr="00ED7F3D">
              <w:rPr>
                <w:rFonts w:ascii="Times New Roman" w:hAnsi="Times New Roman" w:cs="Times New Roman"/>
                <w:color w:val="221E20"/>
                <w:sz w:val="24"/>
                <w:szCs w:val="24"/>
                <w:lang w:val="bg"/>
              </w:rPr>
              <w:t>Потенциално вредно за всички хора, използващи сградата, след хронично излагане</w:t>
            </w:r>
          </w:p>
        </w:tc>
      </w:tr>
      <w:tr w:rsidR="00ED7F3D" w:rsidRPr="00ED7F3D" w:rsidTr="000B5786">
        <w:tc>
          <w:tcPr>
            <w:tcW w:w="3020" w:type="dxa"/>
          </w:tcPr>
          <w:p w:rsidR="00ED7F3D" w:rsidRPr="00ED7F3D" w:rsidRDefault="00ED7F3D" w:rsidP="000B5786">
            <w:pPr>
              <w:rPr>
                <w:rFonts w:ascii="Times New Roman" w:hAnsi="Times New Roman" w:cs="Times New Roman"/>
                <w:sz w:val="24"/>
                <w:szCs w:val="24"/>
                <w:lang w:val="bg-BG"/>
              </w:rPr>
            </w:pPr>
            <w:r w:rsidRPr="00ED7F3D">
              <w:rPr>
                <w:rFonts w:ascii="Times New Roman" w:hAnsi="Times New Roman" w:cs="Times New Roman"/>
                <w:sz w:val="24"/>
                <w:szCs w:val="24"/>
                <w:lang w:val="bg-BG"/>
              </w:rPr>
              <w:t>Несъществено</w:t>
            </w:r>
          </w:p>
        </w:tc>
        <w:tc>
          <w:tcPr>
            <w:tcW w:w="5768" w:type="dxa"/>
          </w:tcPr>
          <w:p w:rsidR="00ED7F3D" w:rsidRPr="00ED7F3D" w:rsidRDefault="00ED7F3D" w:rsidP="000B5786">
            <w:pPr>
              <w:rPr>
                <w:rFonts w:ascii="Times New Roman" w:hAnsi="Times New Roman" w:cs="Times New Roman"/>
                <w:color w:val="221E20"/>
                <w:sz w:val="24"/>
                <w:szCs w:val="24"/>
                <w:lang w:val="bg"/>
              </w:rPr>
            </w:pPr>
            <w:r w:rsidRPr="00ED7F3D">
              <w:rPr>
                <w:rFonts w:ascii="Times New Roman" w:hAnsi="Times New Roman" w:cs="Times New Roman"/>
                <w:color w:val="221E20"/>
                <w:sz w:val="24"/>
                <w:szCs w:val="24"/>
                <w:lang w:val="bg"/>
              </w:rPr>
              <w:t>Няма въздействие или не може да бъде открито</w:t>
            </w:r>
          </w:p>
        </w:tc>
      </w:tr>
    </w:tbl>
    <w:p w:rsidR="00ED7F3D" w:rsidRPr="00ED7F3D" w:rsidRDefault="00ED7F3D" w:rsidP="00ED7F3D">
      <w:pPr>
        <w:widowControl w:val="0"/>
        <w:spacing w:after="80" w:line="264" w:lineRule="auto"/>
        <w:jc w:val="both"/>
        <w:rPr>
          <w:rFonts w:ascii="Times New Roman" w:hAnsi="Times New Roman" w:cs="Times New Roman"/>
          <w:sz w:val="24"/>
          <w:szCs w:val="24"/>
          <w:lang w:val="bg-BG"/>
        </w:rPr>
      </w:pPr>
    </w:p>
    <w:p w:rsidR="00ED7F3D" w:rsidRPr="00ED7F3D" w:rsidRDefault="00ED7F3D" w:rsidP="00ED7F3D">
      <w:pPr>
        <w:widowControl w:val="0"/>
        <w:spacing w:after="80" w:line="264" w:lineRule="auto"/>
        <w:jc w:val="both"/>
        <w:rPr>
          <w:rFonts w:ascii="Times New Roman" w:hAnsi="Times New Roman" w:cs="Times New Roman"/>
          <w:color w:val="221E20"/>
          <w:sz w:val="24"/>
          <w:szCs w:val="24"/>
          <w:lang w:val="bg"/>
        </w:rPr>
      </w:pPr>
      <w:r w:rsidRPr="00ED7F3D">
        <w:rPr>
          <w:rFonts w:ascii="Times New Roman" w:hAnsi="Times New Roman" w:cs="Times New Roman"/>
          <w:sz w:val="24"/>
          <w:szCs w:val="24"/>
          <w:lang w:val="bg-BG"/>
        </w:rPr>
        <w:t xml:space="preserve">           </w:t>
      </w:r>
      <w:r w:rsidRPr="00ED7F3D">
        <w:rPr>
          <w:rFonts w:ascii="Times New Roman" w:hAnsi="Times New Roman" w:cs="Times New Roman"/>
          <w:color w:val="221E20"/>
          <w:sz w:val="24"/>
          <w:szCs w:val="24"/>
          <w:lang w:val="bg"/>
        </w:rPr>
        <w:t xml:space="preserve">Независимо от това кой метод е предпочитан, всяко решение, взето при оценката </w:t>
      </w:r>
      <w:r w:rsidRPr="00ED7F3D">
        <w:rPr>
          <w:rFonts w:ascii="Times New Roman" w:hAnsi="Times New Roman" w:cs="Times New Roman"/>
          <w:color w:val="221E20"/>
          <w:sz w:val="24"/>
          <w:szCs w:val="24"/>
          <w:lang w:val="bg"/>
        </w:rPr>
        <w:lastRenderedPageBreak/>
        <w:t>на риска, трябва да бъде документирано, за да се гарантира, че решенията са достатъчно прозрачни за външна проверка и да се даде възможност за повторна оценка при периодични прегледи.</w:t>
      </w:r>
    </w:p>
    <w:p w:rsidR="00ED7F3D" w:rsidRPr="00ED7F3D" w:rsidRDefault="00ED7F3D" w:rsidP="00ED7F3D">
      <w:pPr>
        <w:spacing w:line="360" w:lineRule="auto"/>
        <w:ind w:firstLine="708"/>
        <w:jc w:val="both"/>
        <w:rPr>
          <w:rFonts w:ascii="Times New Roman" w:hAnsi="Times New Roman" w:cs="Times New Roman"/>
          <w:b/>
          <w:sz w:val="24"/>
          <w:szCs w:val="24"/>
          <w:u w:val="single"/>
          <w:lang w:val="bg-BG"/>
        </w:rPr>
      </w:pPr>
      <w:r w:rsidRPr="00ED7F3D">
        <w:rPr>
          <w:rFonts w:ascii="Times New Roman" w:hAnsi="Times New Roman" w:cs="Times New Roman"/>
          <w:b/>
          <w:sz w:val="24"/>
          <w:szCs w:val="24"/>
          <w:u w:val="single"/>
          <w:lang w:val="bg-BG"/>
        </w:rPr>
        <w:t>5. Мерки за контрол</w:t>
      </w:r>
    </w:p>
    <w:p w:rsidR="00ED7F3D" w:rsidRPr="00ED7F3D" w:rsidRDefault="00ED7F3D" w:rsidP="00ED7F3D">
      <w:pPr>
        <w:spacing w:line="360" w:lineRule="auto"/>
        <w:ind w:firstLine="708"/>
        <w:jc w:val="both"/>
        <w:rPr>
          <w:rFonts w:ascii="Times New Roman" w:hAnsi="Times New Roman" w:cs="Times New Roman"/>
          <w:b/>
          <w:sz w:val="24"/>
          <w:szCs w:val="24"/>
          <w:u w:val="single"/>
          <w:lang w:val="bg-BG"/>
        </w:rPr>
      </w:pPr>
      <w:r w:rsidRPr="00ED7F3D">
        <w:rPr>
          <w:rFonts w:ascii="Times New Roman" w:hAnsi="Times New Roman" w:cs="Times New Roman"/>
          <w:b/>
          <w:sz w:val="24"/>
          <w:szCs w:val="24"/>
          <w:u w:val="single"/>
          <w:lang w:val="bg-BG"/>
        </w:rPr>
        <w:t>6. Валидиране на мерките за контрол.</w:t>
      </w:r>
    </w:p>
    <w:p w:rsidR="00ED7F3D" w:rsidRPr="00ED7F3D" w:rsidRDefault="00ED7F3D" w:rsidP="00ED7F3D">
      <w:pPr>
        <w:spacing w:line="360" w:lineRule="auto"/>
        <w:ind w:firstLine="708"/>
        <w:jc w:val="both"/>
        <w:rPr>
          <w:rFonts w:ascii="Times New Roman" w:hAnsi="Times New Roman" w:cs="Times New Roman"/>
          <w:b/>
          <w:sz w:val="24"/>
          <w:szCs w:val="24"/>
          <w:u w:val="single"/>
          <w:lang w:val="bg-BG"/>
        </w:rPr>
      </w:pPr>
      <w:r w:rsidRPr="00ED7F3D">
        <w:rPr>
          <w:rFonts w:ascii="Times New Roman" w:hAnsi="Times New Roman" w:cs="Times New Roman"/>
          <w:b/>
          <w:sz w:val="24"/>
          <w:szCs w:val="24"/>
          <w:u w:val="single"/>
          <w:lang w:val="bg-BG"/>
        </w:rPr>
        <w:t>7. Оперативен мониторинг на мерките за контрол</w:t>
      </w:r>
    </w:p>
    <w:p w:rsidR="00ED7F3D" w:rsidRPr="00ED7F3D" w:rsidRDefault="00ED7F3D" w:rsidP="00ED7F3D">
      <w:pPr>
        <w:spacing w:line="360" w:lineRule="auto"/>
        <w:ind w:firstLine="708"/>
        <w:jc w:val="both"/>
        <w:rPr>
          <w:rFonts w:ascii="Times New Roman" w:hAnsi="Times New Roman" w:cs="Times New Roman"/>
          <w:b/>
          <w:sz w:val="24"/>
          <w:szCs w:val="24"/>
          <w:u w:val="single"/>
          <w:lang w:val="bg-BG"/>
        </w:rPr>
      </w:pPr>
      <w:r w:rsidRPr="00ED7F3D">
        <w:rPr>
          <w:rFonts w:ascii="Times New Roman" w:hAnsi="Times New Roman" w:cs="Times New Roman"/>
          <w:b/>
          <w:sz w:val="24"/>
          <w:szCs w:val="24"/>
          <w:u w:val="single"/>
          <w:lang w:val="bg-BG"/>
        </w:rPr>
        <w:t>8.Процедури за управление и коригиращи действия.</w:t>
      </w:r>
    </w:p>
    <w:p w:rsidR="00ED7F3D" w:rsidRPr="00ED7F3D" w:rsidRDefault="00ED7F3D" w:rsidP="00ED7F3D">
      <w:pPr>
        <w:spacing w:line="360" w:lineRule="auto"/>
        <w:ind w:firstLine="708"/>
        <w:jc w:val="both"/>
        <w:rPr>
          <w:rFonts w:ascii="Times New Roman" w:hAnsi="Times New Roman" w:cs="Times New Roman"/>
          <w:b/>
          <w:sz w:val="24"/>
          <w:szCs w:val="24"/>
          <w:u w:val="single"/>
          <w:lang w:val="bg-BG"/>
        </w:rPr>
      </w:pPr>
      <w:r w:rsidRPr="00ED7F3D">
        <w:rPr>
          <w:rFonts w:ascii="Times New Roman" w:hAnsi="Times New Roman" w:cs="Times New Roman"/>
          <w:b/>
          <w:sz w:val="24"/>
          <w:szCs w:val="24"/>
          <w:u w:val="single"/>
          <w:lang w:val="bg-BG"/>
        </w:rPr>
        <w:t>9. Програма за обучение, и план за периодичен преглед.</w:t>
      </w:r>
    </w:p>
    <w:p w:rsidR="00ED7F3D" w:rsidRPr="00ED7F3D" w:rsidRDefault="00ED7F3D" w:rsidP="00ED7F3D">
      <w:pPr>
        <w:spacing w:line="360" w:lineRule="auto"/>
        <w:ind w:firstLine="708"/>
        <w:jc w:val="both"/>
        <w:rPr>
          <w:rFonts w:ascii="Times New Roman" w:hAnsi="Times New Roman" w:cs="Times New Roman"/>
          <w:sz w:val="24"/>
          <w:szCs w:val="24"/>
          <w:lang w:val="bg-BG"/>
        </w:rPr>
      </w:pPr>
      <w:r w:rsidRPr="00ED7F3D">
        <w:rPr>
          <w:rFonts w:ascii="Times New Roman" w:hAnsi="Times New Roman" w:cs="Times New Roman"/>
          <w:b/>
          <w:sz w:val="24"/>
          <w:szCs w:val="24"/>
          <w:u w:val="single"/>
          <w:lang w:val="bg-BG"/>
        </w:rPr>
        <w:t>10. Мониторингов план за контрол на показателите, посочени в приложение № 1, таблица Д.</w:t>
      </w:r>
      <w:r w:rsidRPr="00ED7F3D">
        <w:rPr>
          <w:rFonts w:ascii="Times New Roman" w:hAnsi="Times New Roman" w:cs="Times New Roman"/>
          <w:sz w:val="24"/>
          <w:szCs w:val="24"/>
          <w:lang w:val="bg-BG"/>
        </w:rPr>
        <w:t xml:space="preserve"> След като се изготви цялостната оценка на риска въз основа на гореописания план за безопасност на питейната вода в сградите се изготвя план за мониторинг на показателите от таблица Д на приложение № 1 към Наредба № 9. Към плана се изготвя схема, на която се посочват местата за вземане на пробите, според оценката на риска.</w:t>
      </w:r>
    </w:p>
    <w:p w:rsidR="00ED7F3D" w:rsidRPr="00ED7F3D" w:rsidRDefault="00ED7F3D" w:rsidP="00ED7F3D">
      <w:pPr>
        <w:spacing w:line="360" w:lineRule="auto"/>
        <w:ind w:firstLine="708"/>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 xml:space="preserve"> Изготвянето на плана за управление на риска се съобразява и с Методично указание № 3 от 25.11.2003 г. за борба с легионелозите, което следва да е публично достъпно чрез официалната интернет страница на всяка РЗИ.</w:t>
      </w:r>
    </w:p>
    <w:p w:rsidR="00ED7F3D" w:rsidRPr="00ED7F3D" w:rsidRDefault="00ED7F3D" w:rsidP="00ED7F3D">
      <w:pPr>
        <w:spacing w:line="360" w:lineRule="auto"/>
        <w:ind w:firstLine="708"/>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 xml:space="preserve">За да се изпълни всичко гореизложено е необходима база данни с резултати от провеждани анализи на питейната вода от мястото на изтичането ѝ при потребителите в съответната сграда, която не следва да бъде за период по-малък от 3-5 години. В тази връзка са и дадените от МЗ първоначални указания за анализ на питейната вода от крана по показателите легионела и олово. Обръщаме внимание, че проби се вземат от всяка сгради на един обект поотделно. Сградната водопроводна инсталация се състои от главни хоризонтални клонове, положени открито по тавана на сутерена на сградите (или в монтажни канали) и от вертикални водопроводни клонове, захранващи отделните водочерпни прибори по отделните етажи. Като се има предвид, че задържането и престояването на вода във водопроводната инсталация са предпоставки за развитие и разпространение на бактерия, подходящи пунктове за вземане на проби са най-отдалечените водочерпни прибори (смесителни батерии за мивки; бидета и др.) за топла и студена вода поотделно. При обследване на водопроводната инсталация за наличие на „легонела“ следва да се вземат проби от най-отдалечените водочерпни кранове по водопроводните щрангове </w:t>
      </w:r>
      <w:r w:rsidRPr="00ED7F3D">
        <w:rPr>
          <w:rFonts w:ascii="Times New Roman" w:hAnsi="Times New Roman" w:cs="Times New Roman"/>
          <w:sz w:val="24"/>
          <w:szCs w:val="24"/>
          <w:u w:val="single"/>
          <w:lang w:val="bg-BG"/>
        </w:rPr>
        <w:t>за топла</w:t>
      </w:r>
      <w:r w:rsidRPr="00ED7F3D">
        <w:rPr>
          <w:rFonts w:ascii="Times New Roman" w:hAnsi="Times New Roman" w:cs="Times New Roman"/>
          <w:sz w:val="24"/>
          <w:szCs w:val="24"/>
          <w:lang w:val="bg-BG"/>
        </w:rPr>
        <w:t xml:space="preserve"> и водопроводните щрангове </w:t>
      </w:r>
      <w:r w:rsidRPr="00ED7F3D">
        <w:rPr>
          <w:rFonts w:ascii="Times New Roman" w:hAnsi="Times New Roman" w:cs="Times New Roman"/>
          <w:sz w:val="24"/>
          <w:szCs w:val="24"/>
          <w:u w:val="single"/>
          <w:lang w:val="bg-BG"/>
        </w:rPr>
        <w:t xml:space="preserve">за студена вода </w:t>
      </w:r>
      <w:r w:rsidRPr="00ED7F3D">
        <w:rPr>
          <w:rFonts w:ascii="Times New Roman" w:hAnsi="Times New Roman" w:cs="Times New Roman"/>
          <w:sz w:val="24"/>
          <w:szCs w:val="24"/>
          <w:lang w:val="bg-BG"/>
        </w:rPr>
        <w:t xml:space="preserve">- т.е. за целите на първоначално натрупване на данни се взимат проби  поотделно от крана за </w:t>
      </w:r>
      <w:r w:rsidRPr="00ED7F3D">
        <w:rPr>
          <w:rFonts w:ascii="Times New Roman" w:hAnsi="Times New Roman" w:cs="Times New Roman"/>
          <w:sz w:val="24"/>
          <w:szCs w:val="24"/>
          <w:lang w:val="bg-BG"/>
        </w:rPr>
        <w:lastRenderedPageBreak/>
        <w:t xml:space="preserve">топла вода и от крана за студена вода. </w:t>
      </w:r>
      <w:r w:rsidRPr="00ED7F3D">
        <w:rPr>
          <w:rFonts w:ascii="Times New Roman" w:hAnsi="Times New Roman" w:cs="Times New Roman"/>
          <w:b/>
          <w:sz w:val="24"/>
          <w:szCs w:val="24"/>
          <w:lang w:val="bg-BG"/>
        </w:rPr>
        <w:t>Броят и местата за вземане на проби за изследване зависят от вида на сградната водопроводна инсталация и броя на вертикалните водопроводни клонове, съгласно проектната документация по част ВиК.</w:t>
      </w:r>
      <w:r w:rsidRPr="00ED7F3D">
        <w:rPr>
          <w:rFonts w:ascii="Times New Roman" w:hAnsi="Times New Roman" w:cs="Times New Roman"/>
          <w:sz w:val="24"/>
          <w:szCs w:val="24"/>
          <w:lang w:val="bg-BG"/>
        </w:rPr>
        <w:t xml:space="preserve">  От същите пунктове за студена вода се взимат пробите и за анализ за съдържание на олово. Определяне на съответствието за съдържание на „олово“ се извършва при крана на потребителя без предварително източване на водата. Взема се случайна проба през дневно време с обем един литър.</w:t>
      </w:r>
    </w:p>
    <w:p w:rsidR="00ED7F3D" w:rsidRPr="00ED7F3D" w:rsidRDefault="00ED7F3D" w:rsidP="002A372F">
      <w:pPr>
        <w:spacing w:line="360" w:lineRule="auto"/>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ab/>
        <w:t>Горното важи за всяка сграда на обекта.</w:t>
      </w:r>
    </w:p>
    <w:p w:rsidR="00ED7F3D" w:rsidRPr="00ED7F3D" w:rsidRDefault="00ED7F3D" w:rsidP="00ED7F3D">
      <w:pPr>
        <w:spacing w:line="360" w:lineRule="auto"/>
        <w:ind w:firstLine="708"/>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 xml:space="preserve">По отношение </w:t>
      </w:r>
      <w:r w:rsidR="002A372F">
        <w:rPr>
          <w:rFonts w:ascii="Times New Roman" w:hAnsi="Times New Roman" w:cs="Times New Roman"/>
          <w:sz w:val="24"/>
          <w:szCs w:val="24"/>
          <w:lang w:val="bg-BG"/>
        </w:rPr>
        <w:t xml:space="preserve">на въпроси </w:t>
      </w:r>
      <w:r w:rsidRPr="00ED7F3D">
        <w:rPr>
          <w:rFonts w:ascii="Times New Roman" w:hAnsi="Times New Roman" w:cs="Times New Roman"/>
          <w:sz w:val="24"/>
          <w:szCs w:val="24"/>
          <w:lang w:val="bg-BG"/>
        </w:rPr>
        <w:t xml:space="preserve">свързани със сроковете, посочени в </w:t>
      </w:r>
      <w:r w:rsidR="002A372F" w:rsidRPr="00ED7F3D">
        <w:rPr>
          <w:rFonts w:ascii="Times New Roman" w:hAnsi="Times New Roman" w:cs="Times New Roman"/>
          <w:sz w:val="24"/>
          <w:szCs w:val="24"/>
          <w:lang w:val="bg-BG"/>
        </w:rPr>
        <w:t>Наредба № 9</w:t>
      </w:r>
      <w:r w:rsidR="002A372F">
        <w:rPr>
          <w:rFonts w:ascii="Times New Roman" w:hAnsi="Times New Roman" w:cs="Times New Roman"/>
          <w:sz w:val="24"/>
          <w:szCs w:val="24"/>
          <w:lang w:val="bg-BG"/>
        </w:rPr>
        <w:t xml:space="preserve"> </w:t>
      </w:r>
      <w:r w:rsidRPr="00ED7F3D">
        <w:rPr>
          <w:rFonts w:ascii="Times New Roman" w:hAnsi="Times New Roman" w:cs="Times New Roman"/>
          <w:sz w:val="24"/>
          <w:szCs w:val="24"/>
          <w:lang w:val="bg-BG"/>
        </w:rPr>
        <w:t>обръщаме внимание на следното:</w:t>
      </w:r>
    </w:p>
    <w:p w:rsidR="00ED7F3D" w:rsidRPr="00ED7F3D" w:rsidRDefault="00ED7F3D" w:rsidP="00ED7F3D">
      <w:pPr>
        <w:spacing w:line="360" w:lineRule="auto"/>
        <w:ind w:firstLine="708"/>
        <w:jc w:val="both"/>
        <w:rPr>
          <w:rFonts w:ascii="Times New Roman" w:hAnsi="Times New Roman" w:cs="Times New Roman"/>
          <w:sz w:val="24"/>
          <w:szCs w:val="24"/>
          <w:lang w:val="bg-BG"/>
        </w:rPr>
      </w:pPr>
      <w:r w:rsidRPr="00ED7F3D">
        <w:rPr>
          <w:rFonts w:ascii="Times New Roman" w:hAnsi="Times New Roman" w:cs="Times New Roman"/>
          <w:sz w:val="24"/>
          <w:szCs w:val="24"/>
          <w:lang w:val="bg-BG"/>
        </w:rPr>
        <w:t xml:space="preserve">Съгласно действащото национално законодателство нормативните актове влизат в сила три дни след датата на обнародването им в „Държавен вестник”, ако не е указана в самия акт друга дата за влизане в сила на нормативен акт. В конкретния случай последните изменения и допълнения на Наредба № 9 са обнародвани в Държавен вестник бр. 43 от 16.05.2023 г. В § 2 на  Преходните и заключителни разпоредби (ПЗР) на нормативния акт не е посочена друга дата, от която същият влиза в сила. В тази връзка обнародваните изменения и допълнения са в сила от </w:t>
      </w:r>
      <w:r w:rsidRPr="00ED7F3D">
        <w:rPr>
          <w:rFonts w:ascii="Times New Roman" w:hAnsi="Times New Roman" w:cs="Times New Roman"/>
          <w:b/>
          <w:sz w:val="24"/>
          <w:szCs w:val="24"/>
          <w:lang w:val="bg-BG"/>
        </w:rPr>
        <w:t>19.05.2023 г.</w:t>
      </w:r>
      <w:r w:rsidRPr="00ED7F3D">
        <w:rPr>
          <w:rFonts w:ascii="Times New Roman" w:hAnsi="Times New Roman" w:cs="Times New Roman"/>
          <w:sz w:val="24"/>
          <w:szCs w:val="24"/>
          <w:lang w:val="bg-BG"/>
        </w:rPr>
        <w:t xml:space="preserve"> От тази датата влизат в сила и задълженията на собствениците/управителите/ползвателите на приоритетни обекти да изготвят оценка на риска по реда на чл. 6г от Наредба № 9.  С последните изменения и допълнения на Наредба № 9 се транспонират текстовете на Директива (ЕС) 2020/2184</w:t>
      </w:r>
      <w:r w:rsidRPr="00ED7F3D">
        <w:rPr>
          <w:rFonts w:ascii="Times New Roman" w:hAnsi="Times New Roman" w:cs="Times New Roman"/>
          <w:sz w:val="24"/>
          <w:szCs w:val="24"/>
        </w:rPr>
        <w:t xml:space="preserve"> </w:t>
      </w:r>
      <w:r w:rsidRPr="00ED7F3D">
        <w:rPr>
          <w:rFonts w:ascii="Times New Roman" w:hAnsi="Times New Roman" w:cs="Times New Roman"/>
          <w:sz w:val="24"/>
          <w:szCs w:val="24"/>
          <w:lang w:val="bg-BG"/>
        </w:rPr>
        <w:t>на Европейския Парламент и на Съвета от 16 декември 2020 година относно качеството на водата, предназначена за консумация от човека (преработена) Съгласно Директива (ЕС) 2020/2184, респ. § 41 от ПЗР на Наредба № 9 първоначалната оценка на риска за вътрешната разпределителна система по чл. 6а, ал. 2, т. 3 се извършва в срок до 12 януари 2029 г. Същевременно Директива (ЕС) 2020/2184, респ. § 47 от ПЗР на Наредба № 9 определят, че първият набор от данни по чл. 19, ал. 1, т. 3 се създава отново в срок до 12 януари 2029 г. За да компенсира това припокриване директивата дава възможност на държавите членки да определят разумни срокове за предоставяне на оценката на риска, така, че да бъде изпълнено изискването до 12  Януари 2029 г. да бъде създадена първоначалната база данни. Република България се е възползвала от тази възможност чрез разпоредбите на § 42 и § 43 от ПЗР на Наредба № 9, като първото предоставяне на оценката на риска по чл. 6г, ал. 3 от собствениците/управителите/ползвателите на приоритетните обекти на РЗИ е до 1-ви май 2028 г., а по чл. 6г, ал. 4 от РЗИ на МЗ е до 30 юни 2028 г.</w:t>
      </w:r>
    </w:p>
    <w:p w:rsidR="00ED7F3D" w:rsidRPr="00ED7F3D" w:rsidRDefault="00CE1183" w:rsidP="00ED7F3D">
      <w:pPr>
        <w:spacing w:line="360" w:lineRule="auto"/>
        <w:ind w:firstLine="708"/>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От</w:t>
      </w:r>
      <w:bookmarkStart w:id="2" w:name="_GoBack"/>
      <w:bookmarkEnd w:id="2"/>
      <w:r w:rsidR="00ED7F3D" w:rsidRPr="00ED7F3D">
        <w:rPr>
          <w:rFonts w:ascii="Times New Roman" w:hAnsi="Times New Roman" w:cs="Times New Roman"/>
          <w:sz w:val="24"/>
          <w:szCs w:val="24"/>
          <w:lang w:val="bg-BG"/>
        </w:rPr>
        <w:t xml:space="preserve"> </w:t>
      </w:r>
      <w:r w:rsidR="00ED7F3D" w:rsidRPr="00ED7F3D">
        <w:rPr>
          <w:rFonts w:ascii="Times New Roman" w:hAnsi="Times New Roman" w:cs="Times New Roman"/>
          <w:b/>
          <w:sz w:val="24"/>
          <w:szCs w:val="24"/>
          <w:lang w:val="bg-BG"/>
        </w:rPr>
        <w:t>19.05.2023г.</w:t>
      </w:r>
      <w:r w:rsidR="00ED7F3D" w:rsidRPr="00ED7F3D">
        <w:rPr>
          <w:rFonts w:ascii="Times New Roman" w:hAnsi="Times New Roman" w:cs="Times New Roman"/>
          <w:sz w:val="24"/>
          <w:szCs w:val="24"/>
          <w:lang w:val="bg-BG"/>
        </w:rPr>
        <w:t xml:space="preserve"> за собствениците/ползвателите/управителите на приоритетните обекти вече е произтекло задълженото за започване на подготовка и събиране на база данни за изготвяне на оценката на риска по чл. 6г от Наредба № 9. Със същия срок са произтекли и задълженията на РЗИ и водоснабдителните дружества по отношение ангажиментите им по чл. 6г, ал. 8. </w:t>
      </w:r>
    </w:p>
    <w:p w:rsidR="006E37ED" w:rsidRPr="00ED7F3D" w:rsidRDefault="006E37ED" w:rsidP="002A372F">
      <w:pPr>
        <w:shd w:val="clear" w:color="auto" w:fill="FFFFFF"/>
        <w:spacing w:line="276" w:lineRule="auto"/>
        <w:jc w:val="both"/>
        <w:rPr>
          <w:rFonts w:ascii="Times New Roman" w:hAnsi="Times New Roman" w:cs="Times New Roman"/>
          <w:color w:val="000000"/>
          <w:sz w:val="24"/>
          <w:szCs w:val="24"/>
          <w:lang w:val="bg-BG"/>
        </w:rPr>
      </w:pPr>
    </w:p>
    <w:p w:rsidR="009403BC" w:rsidRPr="00ED7F3D" w:rsidRDefault="009403BC" w:rsidP="009403BC">
      <w:pPr>
        <w:spacing w:after="0" w:line="256" w:lineRule="auto"/>
        <w:ind w:firstLine="850"/>
        <w:jc w:val="both"/>
        <w:rPr>
          <w:rFonts w:ascii="Times New Roman" w:eastAsia="Calibri" w:hAnsi="Times New Roman" w:cs="Times New Roman"/>
          <w:sz w:val="24"/>
          <w:szCs w:val="24"/>
          <w:lang w:val="bg-BG"/>
        </w:rPr>
      </w:pPr>
    </w:p>
    <w:p w:rsidR="009403BC" w:rsidRPr="00ED7F3D" w:rsidRDefault="009403BC" w:rsidP="002A372F">
      <w:pPr>
        <w:spacing w:after="0" w:line="256" w:lineRule="auto"/>
        <w:ind w:firstLine="850"/>
        <w:jc w:val="center"/>
        <w:rPr>
          <w:rFonts w:ascii="Times New Roman" w:eastAsia="Calibri" w:hAnsi="Times New Roman" w:cs="Times New Roman"/>
          <w:b/>
          <w:sz w:val="24"/>
          <w:szCs w:val="24"/>
          <w:lang w:val="bg-BG"/>
        </w:rPr>
      </w:pPr>
      <w:r w:rsidRPr="00ED7F3D">
        <w:rPr>
          <w:rFonts w:ascii="Times New Roman" w:eastAsia="Calibri" w:hAnsi="Times New Roman" w:cs="Times New Roman"/>
          <w:b/>
          <w:sz w:val="24"/>
          <w:szCs w:val="24"/>
          <w:lang w:val="bg-BG"/>
        </w:rPr>
        <w:t>НА ВАШЕТО ВНИМАНИЕ</w:t>
      </w:r>
    </w:p>
    <w:p w:rsidR="002A372F" w:rsidRDefault="002A372F" w:rsidP="009403BC">
      <w:pPr>
        <w:spacing w:after="0" w:line="256" w:lineRule="auto"/>
        <w:ind w:firstLine="850"/>
        <w:jc w:val="both"/>
        <w:rPr>
          <w:rFonts w:ascii="Times New Roman" w:eastAsia="Times New Roman" w:hAnsi="Times New Roman" w:cs="Times New Roman"/>
          <w:sz w:val="24"/>
          <w:szCs w:val="24"/>
          <w:shd w:val="clear" w:color="auto" w:fill="FEFEFE"/>
          <w:lang w:val="bg-BG" w:eastAsia="bg-BG"/>
        </w:rPr>
      </w:pPr>
    </w:p>
    <w:p w:rsidR="009403BC" w:rsidRPr="00ED7F3D" w:rsidRDefault="009403BC" w:rsidP="009403BC">
      <w:pPr>
        <w:spacing w:after="0" w:line="256" w:lineRule="auto"/>
        <w:ind w:firstLine="850"/>
        <w:jc w:val="both"/>
        <w:rPr>
          <w:rFonts w:ascii="Times New Roman" w:eastAsia="Times New Roman" w:hAnsi="Times New Roman" w:cs="Times New Roman"/>
          <w:sz w:val="24"/>
          <w:szCs w:val="24"/>
          <w:shd w:val="clear" w:color="auto" w:fill="FEFEFE"/>
          <w:lang w:val="bg-BG" w:eastAsia="bg-BG"/>
        </w:rPr>
      </w:pPr>
      <w:r w:rsidRPr="00ED7F3D">
        <w:rPr>
          <w:rFonts w:ascii="Times New Roman" w:eastAsia="Times New Roman" w:hAnsi="Times New Roman" w:cs="Times New Roman"/>
          <w:sz w:val="24"/>
          <w:szCs w:val="24"/>
          <w:shd w:val="clear" w:color="auto" w:fill="FEFEFE"/>
          <w:lang w:val="bg-BG" w:eastAsia="bg-BG"/>
        </w:rPr>
        <w:t>Във връзка с предстоящото първо обобщаване на информацията за</w:t>
      </w:r>
      <w:r w:rsidRPr="00ED7F3D">
        <w:rPr>
          <w:rFonts w:ascii="Times New Roman" w:eastAsia="Calibri" w:hAnsi="Times New Roman" w:cs="Times New Roman"/>
          <w:color w:val="000000"/>
          <w:sz w:val="24"/>
          <w:szCs w:val="24"/>
          <w:lang w:val="bg-BG"/>
        </w:rPr>
        <w:t xml:space="preserve"> извършения от страна на собствениците/ползвателите/управителите на </w:t>
      </w:r>
      <w:r w:rsidRPr="00ED7F3D">
        <w:rPr>
          <w:rFonts w:ascii="Times New Roman" w:eastAsia="Calibri" w:hAnsi="Times New Roman" w:cs="Times New Roman"/>
          <w:b/>
          <w:color w:val="000000"/>
          <w:sz w:val="24"/>
          <w:szCs w:val="24"/>
          <w:lang w:val="bg-BG"/>
        </w:rPr>
        <w:t>всички приоритетни обекти</w:t>
      </w:r>
      <w:r w:rsidRPr="00ED7F3D">
        <w:rPr>
          <w:rFonts w:ascii="Times New Roman" w:eastAsia="Calibri" w:hAnsi="Times New Roman" w:cs="Times New Roman"/>
          <w:color w:val="000000"/>
          <w:sz w:val="24"/>
          <w:szCs w:val="24"/>
          <w:lang w:val="bg-BG"/>
        </w:rPr>
        <w:t xml:space="preserve"> мониторинг по показател Legionella, както и за предприетите от тях действия за изготвяне на оценка на риска за вътрешната разпределителна система на обекта, </w:t>
      </w:r>
      <w:r w:rsidRPr="00ED7F3D">
        <w:rPr>
          <w:rFonts w:ascii="Times New Roman" w:eastAsia="Calibri" w:hAnsi="Times New Roman" w:cs="Times New Roman"/>
          <w:b/>
          <w:color w:val="000000"/>
          <w:sz w:val="24"/>
          <w:szCs w:val="24"/>
          <w:lang w:val="bg-BG"/>
        </w:rPr>
        <w:t>в</w:t>
      </w:r>
      <w:r w:rsidRPr="00ED7F3D">
        <w:rPr>
          <w:rFonts w:ascii="Times New Roman" w:eastAsia="Times New Roman" w:hAnsi="Times New Roman" w:cs="Times New Roman"/>
          <w:b/>
          <w:sz w:val="24"/>
          <w:szCs w:val="24"/>
          <w:shd w:val="clear" w:color="auto" w:fill="FEFEFE"/>
          <w:lang w:val="bg-BG" w:eastAsia="bg-BG"/>
        </w:rPr>
        <w:t xml:space="preserve"> РЗИ-Враца </w:t>
      </w:r>
      <w:r w:rsidRPr="00ED7F3D">
        <w:rPr>
          <w:rFonts w:ascii="Times New Roman" w:eastAsia="Calibri" w:hAnsi="Times New Roman" w:cs="Times New Roman"/>
          <w:b/>
          <w:sz w:val="24"/>
          <w:szCs w:val="24"/>
          <w:lang w:val="bg-BG"/>
        </w:rPr>
        <w:t>в</w:t>
      </w:r>
      <w:r w:rsidRPr="00ED7F3D">
        <w:rPr>
          <w:rFonts w:ascii="Times New Roman" w:eastAsia="Calibri" w:hAnsi="Times New Roman" w:cs="Times New Roman"/>
          <w:sz w:val="24"/>
          <w:szCs w:val="24"/>
          <w:lang w:val="bg-BG"/>
        </w:rPr>
        <w:t xml:space="preserve"> </w:t>
      </w:r>
      <w:r w:rsidR="002A372F">
        <w:rPr>
          <w:rFonts w:ascii="Times New Roman" w:eastAsia="Calibri" w:hAnsi="Times New Roman" w:cs="Times New Roman"/>
          <w:b/>
          <w:sz w:val="24"/>
          <w:szCs w:val="24"/>
          <w:lang w:val="bg-BG"/>
        </w:rPr>
        <w:t>срок до 30.03.2026</w:t>
      </w:r>
      <w:r w:rsidRPr="00ED7F3D">
        <w:rPr>
          <w:rFonts w:ascii="Times New Roman" w:eastAsia="Calibri" w:hAnsi="Times New Roman" w:cs="Times New Roman"/>
          <w:b/>
          <w:sz w:val="24"/>
          <w:szCs w:val="24"/>
          <w:lang w:val="bg-BG"/>
        </w:rPr>
        <w:t xml:space="preserve"> г.</w:t>
      </w:r>
      <w:r w:rsidRPr="00ED7F3D">
        <w:rPr>
          <w:rFonts w:ascii="Times New Roman" w:eastAsia="Calibri" w:hAnsi="Times New Roman" w:cs="Times New Roman"/>
          <w:sz w:val="24"/>
          <w:szCs w:val="24"/>
          <w:lang w:val="bg-BG"/>
        </w:rPr>
        <w:t xml:space="preserve"> следва да се представят:</w:t>
      </w:r>
    </w:p>
    <w:p w:rsidR="009403BC" w:rsidRPr="00ED7F3D" w:rsidRDefault="009403BC" w:rsidP="009403BC">
      <w:pPr>
        <w:spacing w:after="0" w:line="256" w:lineRule="auto"/>
        <w:ind w:firstLine="850"/>
        <w:jc w:val="both"/>
        <w:rPr>
          <w:rFonts w:ascii="Times New Roman" w:eastAsia="Calibri" w:hAnsi="Times New Roman" w:cs="Times New Roman"/>
          <w:sz w:val="24"/>
          <w:szCs w:val="24"/>
          <w:lang w:val="bg-BG"/>
        </w:rPr>
      </w:pPr>
      <w:r w:rsidRPr="00ED7F3D">
        <w:rPr>
          <w:rFonts w:ascii="Times New Roman" w:eastAsia="Calibri" w:hAnsi="Times New Roman" w:cs="Times New Roman"/>
          <w:sz w:val="24"/>
          <w:szCs w:val="24"/>
          <w:lang w:val="bg-BG"/>
        </w:rPr>
        <w:t>- резултатите от извършения мониторинг (изследвания) през 2025 г. по показател Legionella на приоритетните обекти;</w:t>
      </w:r>
    </w:p>
    <w:p w:rsidR="009403BC" w:rsidRPr="00ED7F3D" w:rsidRDefault="009403BC" w:rsidP="009403BC">
      <w:pPr>
        <w:spacing w:after="0" w:line="256" w:lineRule="auto"/>
        <w:ind w:firstLine="850"/>
        <w:jc w:val="both"/>
        <w:rPr>
          <w:rFonts w:ascii="Times New Roman" w:eastAsia="Times New Roman" w:hAnsi="Times New Roman" w:cs="Times New Roman"/>
          <w:sz w:val="24"/>
          <w:szCs w:val="24"/>
          <w:lang w:val="bg-BG" w:eastAsia="bg-BG"/>
        </w:rPr>
      </w:pPr>
      <w:r w:rsidRPr="00ED7F3D">
        <w:rPr>
          <w:rFonts w:ascii="Times New Roman" w:eastAsia="Times New Roman" w:hAnsi="Times New Roman" w:cs="Times New Roman"/>
          <w:sz w:val="24"/>
          <w:szCs w:val="24"/>
          <w:lang w:val="bg-BG" w:eastAsia="bg-BG"/>
        </w:rPr>
        <w:t>- информация за предприетите действия за изготвяне на оценка на риска за вътрешната разпределителна система за съответния обект.</w:t>
      </w:r>
    </w:p>
    <w:p w:rsidR="002A372F" w:rsidRDefault="002A372F" w:rsidP="003A1C67">
      <w:pPr>
        <w:shd w:val="clear" w:color="auto" w:fill="FFFFFF"/>
        <w:spacing w:line="276" w:lineRule="auto"/>
        <w:ind w:firstLine="360"/>
        <w:jc w:val="both"/>
        <w:rPr>
          <w:rFonts w:ascii="Times New Roman" w:hAnsi="Times New Roman" w:cs="Times New Roman"/>
          <w:color w:val="000000"/>
          <w:sz w:val="24"/>
          <w:szCs w:val="24"/>
          <w:lang w:val="bg-BG"/>
        </w:rPr>
      </w:pPr>
    </w:p>
    <w:p w:rsidR="003A1C67" w:rsidRPr="00ED7F3D" w:rsidRDefault="003A1C67" w:rsidP="003A1C67">
      <w:pPr>
        <w:shd w:val="clear" w:color="auto" w:fill="FFFFFF"/>
        <w:spacing w:line="276" w:lineRule="auto"/>
        <w:ind w:firstLine="360"/>
        <w:jc w:val="both"/>
        <w:rPr>
          <w:rFonts w:ascii="Times New Roman" w:hAnsi="Times New Roman" w:cs="Times New Roman"/>
          <w:color w:val="000000"/>
          <w:sz w:val="24"/>
          <w:szCs w:val="24"/>
          <w:lang w:val="bg-BG"/>
        </w:rPr>
      </w:pPr>
      <w:r w:rsidRPr="00ED7F3D">
        <w:rPr>
          <w:rFonts w:ascii="Times New Roman" w:hAnsi="Times New Roman" w:cs="Times New Roman"/>
          <w:color w:val="000000"/>
          <w:sz w:val="24"/>
          <w:szCs w:val="24"/>
          <w:lang w:val="bg-BG"/>
        </w:rPr>
        <w:t>РЗИ Враца ще извърши преглед и оценка на постъпилите данни и при необходимост ще изиска допълване или корекция на данните.</w:t>
      </w:r>
    </w:p>
    <w:p w:rsidR="003A1C67" w:rsidRPr="002A372F" w:rsidRDefault="003378CE" w:rsidP="003A1C67">
      <w:pPr>
        <w:shd w:val="clear" w:color="auto" w:fill="FFFFFF"/>
        <w:spacing w:line="276" w:lineRule="auto"/>
        <w:ind w:firstLine="360"/>
        <w:jc w:val="both"/>
        <w:rPr>
          <w:rFonts w:ascii="Times New Roman" w:hAnsi="Times New Roman" w:cs="Times New Roman"/>
          <w:color w:val="000000"/>
          <w:sz w:val="24"/>
          <w:szCs w:val="24"/>
          <w:lang w:val="bg-BG"/>
        </w:rPr>
      </w:pPr>
      <w:r w:rsidRPr="00ED7F3D">
        <w:rPr>
          <w:rFonts w:ascii="Times New Roman" w:hAnsi="Times New Roman" w:cs="Times New Roman"/>
          <w:color w:val="000000"/>
          <w:sz w:val="24"/>
          <w:szCs w:val="24"/>
          <w:lang w:val="bg-BG"/>
        </w:rPr>
        <w:t xml:space="preserve">РЗИ Враца ще </w:t>
      </w:r>
      <w:r w:rsidR="003A1C67" w:rsidRPr="00ED7F3D">
        <w:rPr>
          <w:rFonts w:ascii="Times New Roman" w:hAnsi="Times New Roman" w:cs="Times New Roman"/>
          <w:color w:val="000000"/>
          <w:sz w:val="24"/>
          <w:szCs w:val="24"/>
          <w:lang w:val="bg-BG"/>
        </w:rPr>
        <w:t xml:space="preserve">изготвят обобщена годишна информация за резултатите от проведения мониторинг, и я предоставят на Министерството на здравеопазването </w:t>
      </w:r>
      <w:r w:rsidR="002A372F">
        <w:rPr>
          <w:rFonts w:ascii="Times New Roman" w:hAnsi="Times New Roman" w:cs="Times New Roman"/>
          <w:color w:val="000000"/>
          <w:sz w:val="24"/>
          <w:szCs w:val="24"/>
          <w:lang w:val="en-US"/>
        </w:rPr>
        <w:t>до 31.05.2026</w:t>
      </w:r>
      <w:r w:rsidR="002A372F">
        <w:rPr>
          <w:rFonts w:ascii="Times New Roman" w:hAnsi="Times New Roman" w:cs="Times New Roman"/>
          <w:color w:val="000000"/>
          <w:sz w:val="24"/>
          <w:szCs w:val="24"/>
          <w:lang w:val="bg-BG"/>
        </w:rPr>
        <w:t xml:space="preserve"> </w:t>
      </w:r>
      <w:r w:rsidR="002A372F">
        <w:rPr>
          <w:rFonts w:ascii="Times New Roman" w:hAnsi="Times New Roman" w:cs="Times New Roman"/>
          <w:color w:val="000000"/>
          <w:sz w:val="24"/>
          <w:szCs w:val="24"/>
          <w:lang w:val="en-US"/>
        </w:rPr>
        <w:t>г.</w:t>
      </w:r>
    </w:p>
    <w:p w:rsidR="00437450" w:rsidRDefault="00437450">
      <w:pPr>
        <w:spacing w:after="0" w:line="240" w:lineRule="auto"/>
        <w:rPr>
          <w:rFonts w:ascii="Times New Roman" w:hAnsi="Times New Roman" w:cs="Times New Roman"/>
          <w:sz w:val="24"/>
          <w:szCs w:val="24"/>
          <w:lang w:val="bg-BG"/>
        </w:rPr>
      </w:pPr>
    </w:p>
    <w:p w:rsidR="00437450" w:rsidRDefault="00437450">
      <w:pPr>
        <w:spacing w:after="0" w:line="240" w:lineRule="auto"/>
        <w:rPr>
          <w:rFonts w:ascii="Times New Roman" w:hAnsi="Times New Roman" w:cs="Times New Roman"/>
          <w:sz w:val="24"/>
          <w:szCs w:val="24"/>
        </w:rPr>
      </w:pPr>
      <w:r w:rsidRPr="00ED7F3D">
        <w:rPr>
          <w:rFonts w:ascii="Times New Roman" w:hAnsi="Times New Roman" w:cs="Times New Roman"/>
          <w:sz w:val="24"/>
          <w:szCs w:val="24"/>
          <w:lang w:val="bg-BG"/>
        </w:rPr>
        <w:t>Методично указание № 3 от 25.11.2003 г. за борба с легионелозите</w:t>
      </w:r>
      <w:r>
        <w:rPr>
          <w:rFonts w:ascii="Times New Roman" w:hAnsi="Times New Roman" w:cs="Times New Roman"/>
          <w:sz w:val="24"/>
          <w:szCs w:val="24"/>
        </w:rPr>
        <w:t xml:space="preserve"> </w:t>
      </w:r>
    </w:p>
    <w:p w:rsidR="00001197" w:rsidRDefault="00437450">
      <w:pPr>
        <w:spacing w:after="0" w:line="240" w:lineRule="auto"/>
        <w:rPr>
          <w:rFonts w:ascii="Times New Roman" w:hAnsi="Times New Roman" w:cs="Times New Roman"/>
          <w:sz w:val="24"/>
          <w:szCs w:val="24"/>
        </w:rPr>
      </w:pPr>
      <w:r>
        <w:rPr>
          <w:rFonts w:ascii="Times New Roman" w:hAnsi="Times New Roman" w:cs="Times New Roman"/>
          <w:sz w:val="24"/>
          <w:szCs w:val="24"/>
        </w:rPr>
        <w:object w:dxaOrig="1520" w:dyaOrig="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35pt" o:ole="">
            <v:imagedata r:id="rId7" o:title=""/>
          </v:shape>
          <o:OLEObject Type="Embed" ProgID="Acrobat.Document.DC" ShapeID="_x0000_i1025" DrawAspect="Icon" ObjectID="_1815378174" r:id="rId8"/>
        </w:object>
      </w:r>
      <w:r w:rsidR="00001197">
        <w:rPr>
          <w:rFonts w:ascii="Times New Roman" w:hAnsi="Times New Roman" w:cs="Times New Roman"/>
          <w:sz w:val="24"/>
          <w:szCs w:val="24"/>
        </w:rPr>
        <w:br w:type="page"/>
      </w:r>
    </w:p>
    <w:p w:rsidR="00383437" w:rsidRPr="00ED7F3D" w:rsidRDefault="00383437">
      <w:pPr>
        <w:rPr>
          <w:rFonts w:ascii="Times New Roman" w:hAnsi="Times New Roman" w:cs="Times New Roman"/>
          <w:sz w:val="24"/>
          <w:szCs w:val="24"/>
        </w:rPr>
      </w:pPr>
    </w:p>
    <w:sectPr w:rsidR="00383437" w:rsidRPr="00ED7F3D" w:rsidSect="003A1C6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87A27"/>
    <w:multiLevelType w:val="hybridMultilevel"/>
    <w:tmpl w:val="7040A47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CBD2B07"/>
    <w:multiLevelType w:val="hybridMultilevel"/>
    <w:tmpl w:val="DCC046A8"/>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 w15:restartNumberingAfterBreak="0">
    <w:nsid w:val="24B56AB2"/>
    <w:multiLevelType w:val="hybridMultilevel"/>
    <w:tmpl w:val="85C8B5C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95B4BE5"/>
    <w:multiLevelType w:val="hybridMultilevel"/>
    <w:tmpl w:val="32F080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CCF4C8C"/>
    <w:multiLevelType w:val="hybridMultilevel"/>
    <w:tmpl w:val="FE3274CA"/>
    <w:lvl w:ilvl="0" w:tplc="A3C2E1AC">
      <w:start w:val="2"/>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 w15:restartNumberingAfterBreak="0">
    <w:nsid w:val="3D0B17B6"/>
    <w:multiLevelType w:val="multilevel"/>
    <w:tmpl w:val="B9BCF7C6"/>
    <w:lvl w:ilvl="0">
      <w:start w:val="1"/>
      <w:numFmt w:val="bullet"/>
      <w:lvlText w:val="•"/>
      <w:lvlJc w:val="left"/>
      <w:rPr>
        <w:rFonts w:ascii="Times New Roman" w:eastAsia="Times New Roman" w:hAnsi="Times New Roman" w:cs="Times New Roman"/>
        <w:b w:val="0"/>
        <w:bCs w:val="0"/>
        <w:i w:val="0"/>
        <w:iCs w:val="0"/>
        <w:smallCaps w:val="0"/>
        <w:strike w:val="0"/>
        <w:color w:val="221E2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271AB6"/>
    <w:multiLevelType w:val="hybridMultilevel"/>
    <w:tmpl w:val="AFC8006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53"/>
    <w:rsid w:val="00001197"/>
    <w:rsid w:val="002A372F"/>
    <w:rsid w:val="002B6753"/>
    <w:rsid w:val="003378CE"/>
    <w:rsid w:val="00350CE6"/>
    <w:rsid w:val="00383437"/>
    <w:rsid w:val="003A1C67"/>
    <w:rsid w:val="00437450"/>
    <w:rsid w:val="00621B27"/>
    <w:rsid w:val="00677C6B"/>
    <w:rsid w:val="006E37ED"/>
    <w:rsid w:val="0079074D"/>
    <w:rsid w:val="009403BC"/>
    <w:rsid w:val="00CE1183"/>
    <w:rsid w:val="00ED7F3D"/>
    <w:rsid w:val="00EF07C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F35E6"/>
  <w15:chartTrackingRefBased/>
  <w15:docId w15:val="{59FA0513-C754-4692-B2FE-EBFBAEF7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3BC"/>
    <w:pPr>
      <w:spacing w:after="160" w:line="259"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3BC"/>
    <w:pPr>
      <w:spacing w:after="0" w:line="240" w:lineRule="auto"/>
      <w:ind w:left="720"/>
      <w:contextualSpacing/>
    </w:pPr>
    <w:rPr>
      <w:lang w:val="bg-BG"/>
    </w:rPr>
  </w:style>
  <w:style w:type="character" w:styleId="Hyperlink">
    <w:name w:val="Hyperlink"/>
    <w:basedOn w:val="DefaultParagraphFont"/>
    <w:uiPriority w:val="99"/>
    <w:unhideWhenUsed/>
    <w:rsid w:val="006E37ED"/>
    <w:rPr>
      <w:color w:val="0563C1" w:themeColor="hyperlink"/>
      <w:u w:val="single"/>
    </w:rPr>
  </w:style>
  <w:style w:type="character" w:styleId="FollowedHyperlink">
    <w:name w:val="FollowedHyperlink"/>
    <w:basedOn w:val="DefaultParagraphFont"/>
    <w:uiPriority w:val="99"/>
    <w:semiHidden/>
    <w:unhideWhenUsed/>
    <w:rsid w:val="006E37ED"/>
    <w:rPr>
      <w:color w:val="954F72" w:themeColor="followedHyperlink"/>
      <w:u w:val="single"/>
    </w:rPr>
  </w:style>
  <w:style w:type="paragraph" w:styleId="BalloonText">
    <w:name w:val="Balloon Text"/>
    <w:basedOn w:val="Normal"/>
    <w:link w:val="BalloonTextChar"/>
    <w:uiPriority w:val="99"/>
    <w:semiHidden/>
    <w:unhideWhenUsed/>
    <w:rsid w:val="00350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CE6"/>
    <w:rPr>
      <w:rFonts w:ascii="Segoe UI" w:hAnsi="Segoe UI" w:cs="Segoe UI"/>
      <w:sz w:val="18"/>
      <w:szCs w:val="18"/>
      <w:lang w:val="ru-RU"/>
    </w:rPr>
  </w:style>
  <w:style w:type="character" w:customStyle="1" w:styleId="Bodytext1">
    <w:name w:val="Body text|1_"/>
    <w:basedOn w:val="DefaultParagraphFont"/>
    <w:link w:val="Bodytext10"/>
    <w:rsid w:val="00ED7F3D"/>
    <w:rPr>
      <w:color w:val="221E20"/>
      <w:sz w:val="20"/>
      <w:szCs w:val="20"/>
    </w:rPr>
  </w:style>
  <w:style w:type="character" w:customStyle="1" w:styleId="Heading51">
    <w:name w:val="Heading #5|1_"/>
    <w:basedOn w:val="DefaultParagraphFont"/>
    <w:link w:val="Heading510"/>
    <w:rsid w:val="00ED7F3D"/>
    <w:rPr>
      <w:rFonts w:ascii="Arial" w:eastAsia="Arial" w:hAnsi="Arial" w:cs="Arial"/>
      <w:b/>
      <w:bCs/>
      <w:color w:val="221E20"/>
      <w:sz w:val="20"/>
      <w:szCs w:val="20"/>
    </w:rPr>
  </w:style>
  <w:style w:type="paragraph" w:customStyle="1" w:styleId="Bodytext10">
    <w:name w:val="Body text|1"/>
    <w:basedOn w:val="Normal"/>
    <w:link w:val="Bodytext1"/>
    <w:rsid w:val="00ED7F3D"/>
    <w:pPr>
      <w:widowControl w:val="0"/>
      <w:spacing w:after="80" w:line="264" w:lineRule="auto"/>
    </w:pPr>
    <w:rPr>
      <w:color w:val="221E20"/>
      <w:sz w:val="20"/>
      <w:szCs w:val="20"/>
      <w:lang w:val="bg-BG"/>
    </w:rPr>
  </w:style>
  <w:style w:type="paragraph" w:customStyle="1" w:styleId="Heading510">
    <w:name w:val="Heading #5|1"/>
    <w:basedOn w:val="Normal"/>
    <w:link w:val="Heading51"/>
    <w:rsid w:val="00ED7F3D"/>
    <w:pPr>
      <w:widowControl w:val="0"/>
      <w:spacing w:after="80" w:line="240" w:lineRule="auto"/>
      <w:ind w:firstLine="580"/>
      <w:outlineLvl w:val="4"/>
    </w:pPr>
    <w:rPr>
      <w:rFonts w:ascii="Arial" w:eastAsia="Arial" w:hAnsi="Arial" w:cs="Arial"/>
      <w:b/>
      <w:bCs/>
      <w:color w:val="221E20"/>
      <w:sz w:val="20"/>
      <w:szCs w:val="20"/>
      <w:lang w:val="bg-BG"/>
    </w:rPr>
  </w:style>
  <w:style w:type="table" w:styleId="TableGrid">
    <w:name w:val="Table Grid"/>
    <w:basedOn w:val="TableNormal"/>
    <w:uiPriority w:val="39"/>
    <w:rsid w:val="00ED7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k-vratza.eu/page?info=Informacyazaobshtvenosta" TargetMode="External"/><Relationship Id="rId5" Type="http://schemas.openxmlformats.org/officeDocument/2006/relationships/hyperlink" Target="https://www.rzi-vrats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14</Pages>
  <Words>4099</Words>
  <Characters>23369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2025-07-24T12:29:00Z</cp:lastPrinted>
  <dcterms:created xsi:type="dcterms:W3CDTF">2025-07-24T09:09:00Z</dcterms:created>
  <dcterms:modified xsi:type="dcterms:W3CDTF">2025-07-30T07:56:00Z</dcterms:modified>
</cp:coreProperties>
</file>