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7666F5">
        <w:rPr>
          <w:lang w:val="en-US"/>
        </w:rPr>
        <w:t>11</w:t>
      </w:r>
      <w:r w:rsidR="00474921">
        <w:rPr>
          <w:lang w:val="bg-BG"/>
        </w:rPr>
        <w:t>.0</w:t>
      </w:r>
      <w:r w:rsidR="00242F15">
        <w:rPr>
          <w:lang w:val="en-US"/>
        </w:rPr>
        <w:t>7</w:t>
      </w:r>
      <w:r w:rsidR="00474921">
        <w:rPr>
          <w:lang w:val="bg-BG"/>
        </w:rPr>
        <w:t xml:space="preserve">. до </w:t>
      </w:r>
      <w:r w:rsidR="007666F5">
        <w:rPr>
          <w:lang w:val="en-US"/>
        </w:rPr>
        <w:t>15</w:t>
      </w:r>
      <w:r w:rsidR="00474921">
        <w:rPr>
          <w:lang w:val="bg-BG"/>
        </w:rPr>
        <w:t>.0</w:t>
      </w:r>
      <w:r w:rsidR="00AA7A7A">
        <w:rPr>
          <w:lang w:val="bg-BG"/>
        </w:rPr>
        <w:t>7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7666F5">
        <w:t>11</w:t>
      </w:r>
      <w:r w:rsidR="006E3CA1">
        <w:rPr>
          <w:lang w:val="bg-BG"/>
        </w:rPr>
        <w:t>.0</w:t>
      </w:r>
      <w:r w:rsidR="00242F15">
        <w:rPr>
          <w:lang w:val="en-US"/>
        </w:rPr>
        <w:t>7</w:t>
      </w:r>
      <w:r w:rsidR="006E3CA1">
        <w:rPr>
          <w:lang w:val="bg-BG"/>
        </w:rPr>
        <w:t xml:space="preserve">. до </w:t>
      </w:r>
      <w:r w:rsidR="007666F5">
        <w:rPr>
          <w:lang w:val="en-US"/>
        </w:rPr>
        <w:t>15</w:t>
      </w:r>
      <w:r w:rsidR="00AA7A7A">
        <w:rPr>
          <w:lang w:val="bg-BG"/>
        </w:rPr>
        <w:t>.07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A91201">
        <w:rPr>
          <w:lang w:val="en-US"/>
        </w:rPr>
        <w:t>329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BD11AB" w:rsidRPr="00BD11AB">
        <w:rPr>
          <w:b/>
        </w:rPr>
        <w:t>1</w:t>
      </w:r>
      <w:r w:rsidR="00A91201">
        <w:rPr>
          <w:b/>
          <w:lang w:val="bg-BG"/>
        </w:rPr>
        <w:t>34</w:t>
      </w:r>
      <w:r w:rsidR="00340CB4" w:rsidRPr="00BD11AB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D11AB" w:rsidRDefault="00BD11AB" w:rsidP="00A91201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91201">
              <w:rPr>
                <w:lang w:val="en-US"/>
              </w:rPr>
              <w:t>24</w:t>
            </w:r>
          </w:p>
        </w:tc>
        <w:tc>
          <w:tcPr>
            <w:tcW w:w="3791" w:type="dxa"/>
          </w:tcPr>
          <w:p w:rsidR="00867CE1" w:rsidRPr="007113C2" w:rsidRDefault="007113C2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Колиентерит</w:t>
            </w:r>
          </w:p>
        </w:tc>
        <w:tc>
          <w:tcPr>
            <w:tcW w:w="1134" w:type="dxa"/>
          </w:tcPr>
          <w:p w:rsidR="00867CE1" w:rsidRPr="006E6B22" w:rsidRDefault="007113C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C06D9" w:rsidRPr="00790E2E" w:rsidTr="007666F5">
        <w:tc>
          <w:tcPr>
            <w:tcW w:w="3134" w:type="dxa"/>
          </w:tcPr>
          <w:p w:rsidR="001C06D9" w:rsidRPr="001C06D9" w:rsidRDefault="007113C2" w:rsidP="001C06D9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1155" w:type="dxa"/>
          </w:tcPr>
          <w:p w:rsidR="001C06D9" w:rsidRDefault="00A9120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3791" w:type="dxa"/>
          </w:tcPr>
          <w:p w:rsidR="001C06D9" w:rsidRPr="00A91201" w:rsidRDefault="00A9120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ВХ-А</w:t>
            </w:r>
          </w:p>
        </w:tc>
        <w:tc>
          <w:tcPr>
            <w:tcW w:w="1134" w:type="dxa"/>
          </w:tcPr>
          <w:p w:rsidR="001C06D9" w:rsidRPr="001C06D9" w:rsidRDefault="00A9120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A00A6" w:rsidRPr="00125381" w:rsidTr="007666F5">
        <w:tc>
          <w:tcPr>
            <w:tcW w:w="3134" w:type="dxa"/>
          </w:tcPr>
          <w:p w:rsidR="004A00A6" w:rsidRDefault="00EC33D5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A91201">
              <w:rPr>
                <w:sz w:val="22"/>
                <w:szCs w:val="22"/>
                <w:lang w:val="bg-BG"/>
              </w:rPr>
              <w:t>ТБ</w:t>
            </w:r>
          </w:p>
        </w:tc>
        <w:tc>
          <w:tcPr>
            <w:tcW w:w="1155" w:type="dxa"/>
          </w:tcPr>
          <w:p w:rsidR="004A00A6" w:rsidRPr="004A00A6" w:rsidRDefault="00EC33D5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791" w:type="dxa"/>
          </w:tcPr>
          <w:p w:rsidR="004A00A6" w:rsidRPr="00A91201" w:rsidRDefault="00A9120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A91201">
              <w:rPr>
                <w:lang w:val="bg-BG"/>
              </w:rPr>
              <w:t>Ентероколит</w:t>
            </w:r>
          </w:p>
        </w:tc>
        <w:tc>
          <w:tcPr>
            <w:tcW w:w="1134" w:type="dxa"/>
          </w:tcPr>
          <w:p w:rsidR="004A00A6" w:rsidRPr="00A91201" w:rsidRDefault="00A9120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A91201">
              <w:rPr>
                <w:lang w:val="bg-BG"/>
              </w:rPr>
              <w:t>1</w:t>
            </w: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D1016D" w:rsidRDefault="00A91201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3791" w:type="dxa"/>
          </w:tcPr>
          <w:p w:rsidR="00A91201" w:rsidRPr="000434EB" w:rsidRDefault="00A91201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A91201" w:rsidRPr="000434EB" w:rsidRDefault="00A91201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4A00A6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  <w:bookmarkStart w:id="0" w:name="_GoBack"/>
            <w:bookmarkEnd w:id="0"/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CC58C8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A91201" w:rsidRPr="009566BE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A91201" w:rsidRDefault="00A9120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A91201" w:rsidRDefault="00A91201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A91201" w:rsidRDefault="00A9120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A91201" w:rsidRDefault="00A9120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A91201" w:rsidRDefault="00BD11AB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en-US"/>
              </w:rPr>
              <w:t>15</w:t>
            </w:r>
            <w:r w:rsidR="00A91201">
              <w:rPr>
                <w:lang w:val="bg-BG"/>
              </w:rPr>
              <w:t>9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4C6D3E" w:rsidRDefault="004C6D3E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4F0E9D" w:rsidRDefault="004C6D3E" w:rsidP="000D0BE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4C6D3E" w:rsidRPr="006B6BA0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C6D3E" w:rsidRPr="00BD519F" w:rsidTr="000D0BEC">
        <w:trPr>
          <w:jc w:val="center"/>
        </w:trPr>
        <w:tc>
          <w:tcPr>
            <w:tcW w:w="7795" w:type="dxa"/>
            <w:vAlign w:val="center"/>
          </w:tcPr>
          <w:p w:rsidR="004C6D3E" w:rsidRPr="004F0E9D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4C6D3E" w:rsidRPr="00BD519F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4F0E9D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4C6D3E" w:rsidRPr="00BD519F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682388" w:rsidRDefault="004C6D3E" w:rsidP="000D0BE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4C6D3E" w:rsidRPr="006B6BA0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</w:tr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4F303A" w:rsidRDefault="004C6D3E" w:rsidP="000D0BE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4C6D3E" w:rsidRPr="006B6BA0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1052</w:t>
            </w:r>
          </w:p>
        </w:tc>
      </w:tr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4F0E9D" w:rsidRDefault="004C6D3E" w:rsidP="000D0BE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4C6D3E" w:rsidRPr="00BD519F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ED10ED" w:rsidRDefault="004C6D3E" w:rsidP="000D0BE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4C6D3E" w:rsidRPr="00BD519F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</w:tr>
      <w:tr w:rsidR="004C6D3E" w:rsidRPr="004F0E9D" w:rsidTr="000D0BEC">
        <w:trPr>
          <w:jc w:val="center"/>
        </w:trPr>
        <w:tc>
          <w:tcPr>
            <w:tcW w:w="7795" w:type="dxa"/>
            <w:vAlign w:val="center"/>
          </w:tcPr>
          <w:p w:rsidR="004C6D3E" w:rsidRPr="00ED10ED" w:rsidRDefault="004C6D3E" w:rsidP="000D0BEC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4C6D3E" w:rsidRPr="00BD519F" w:rsidRDefault="004C6D3E" w:rsidP="000D0BE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4C6D3E" w:rsidRDefault="004C6D3E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2E444D" w:rsidRDefault="002E444D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bCs/>
                <w:lang w:val="bg-BG" w:eastAsia="bg-BG"/>
              </w:rPr>
            </w:pPr>
            <w:r w:rsidRPr="007666F5">
              <w:rPr>
                <w:bCs/>
                <w:lang w:val="bg-BG" w:eastAsia="bg-BG"/>
              </w:rPr>
              <w:t>52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2</w:t>
            </w: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50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26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4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Участие в Експертни съвет към общините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3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FB6C6D" w:rsidRDefault="00FB6C6D" w:rsidP="00C40FBC">
      <w:pPr>
        <w:tabs>
          <w:tab w:val="left" w:pos="6237"/>
        </w:tabs>
        <w:jc w:val="center"/>
      </w:pPr>
    </w:p>
    <w:p w:rsidR="00FB6C6D" w:rsidRPr="004F0E9D" w:rsidRDefault="00FB6C6D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84609E" w:rsidRDefault="0084609E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7666F5" w:rsidRPr="007666F5" w:rsidTr="00414CBC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Извършени </w:t>
            </w:r>
            <w:r w:rsidRPr="007666F5">
              <w:rPr>
                <w:color w:val="000000"/>
                <w:lang w:eastAsia="bg-BG"/>
              </w:rPr>
              <w:t>лабораторни изпитвания и измервания</w:t>
            </w:r>
            <w:r w:rsidRPr="007666F5">
              <w:rPr>
                <w:color w:val="000000"/>
                <w:lang w:val="bg-BG" w:eastAsia="bg-BG"/>
              </w:rPr>
              <w:t xml:space="preserve"> </w:t>
            </w:r>
            <w:r w:rsidRPr="007666F5">
              <w:t>– общо</w:t>
            </w:r>
            <w:r w:rsidRPr="007666F5">
              <w:rPr>
                <w:lang w:val="bg-BG"/>
              </w:rPr>
              <w:t>:</w:t>
            </w:r>
          </w:p>
          <w:p w:rsidR="007666F5" w:rsidRPr="007666F5" w:rsidRDefault="007666F5" w:rsidP="007666F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7666F5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7666F5">
              <w:rPr>
                <w:lang w:val="bg-BG"/>
              </w:rPr>
              <w:t>211</w:t>
            </w:r>
          </w:p>
        </w:tc>
      </w:tr>
      <w:tr w:rsidR="007666F5" w:rsidRPr="007666F5" w:rsidTr="00414CBC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7666F5">
              <w:rPr>
                <w:color w:val="000000"/>
                <w:lang w:val="bg-BG" w:eastAsia="bg-BG"/>
              </w:rPr>
              <w:t>з</w:t>
            </w:r>
            <w:r w:rsidRPr="007666F5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7666F5" w:rsidRPr="007666F5" w:rsidRDefault="007666F5" w:rsidP="007666F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7666F5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7666F5" w:rsidRPr="007666F5" w:rsidRDefault="007666F5" w:rsidP="007666F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7666F5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7666F5">
              <w:rPr>
                <w:lang w:val="bg-BG"/>
              </w:rPr>
              <w:t>-</w:t>
            </w:r>
          </w:p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7666F5">
              <w:rPr>
                <w:lang w:val="bg-BG"/>
              </w:rPr>
              <w:t>-</w:t>
            </w:r>
          </w:p>
        </w:tc>
      </w:tr>
      <w:tr w:rsidR="007666F5" w:rsidRPr="007666F5" w:rsidTr="00414CBC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з</w:t>
            </w:r>
            <w:r w:rsidRPr="007666F5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7666F5" w:rsidRPr="007666F5" w:rsidRDefault="007666F5" w:rsidP="007666F5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66F5" w:rsidRPr="007666F5" w:rsidRDefault="007666F5" w:rsidP="007666F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7666F5" w:rsidRPr="007666F5" w:rsidRDefault="007666F5" w:rsidP="007666F5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7666F5">
              <w:rPr>
                <w:lang w:val="bg-BG"/>
              </w:rPr>
              <w:t>117</w:t>
            </w:r>
          </w:p>
        </w:tc>
      </w:tr>
      <w:tr w:rsidR="007666F5" w:rsidRPr="007666F5" w:rsidTr="00414CBC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7666F5">
              <w:rPr>
                <w:lang w:val="bg-BG"/>
              </w:rPr>
              <w:t>п</w:t>
            </w:r>
            <w:r w:rsidRPr="007666F5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7666F5">
              <w:rPr>
                <w:lang w:val="bg-BG"/>
              </w:rPr>
              <w:t>94</w:t>
            </w:r>
          </w:p>
        </w:tc>
      </w:tr>
      <w:tr w:rsidR="007666F5" w:rsidRPr="007666F5" w:rsidTr="00414CBC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7666F5">
              <w:rPr>
                <w:lang w:val="bg-BG"/>
              </w:rPr>
              <w:t>Участие в набиране</w:t>
            </w:r>
            <w:r w:rsidRPr="007666F5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7666F5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66F5" w:rsidRPr="007666F5" w:rsidRDefault="007666F5" w:rsidP="007666F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7666F5">
              <w:rPr>
                <w:lang w:val="bg-BG"/>
              </w:rPr>
              <w:t>-</w:t>
            </w:r>
          </w:p>
        </w:tc>
      </w:tr>
    </w:tbl>
    <w:p w:rsidR="006E3CA1" w:rsidRDefault="006E3CA1" w:rsidP="00E12878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7666F5">
        <w:rPr>
          <w:b/>
          <w:lang w:val="bg-BG"/>
        </w:rPr>
        <w:t>11</w:t>
      </w:r>
      <w:r w:rsidR="006E3CA1" w:rsidRPr="006E3CA1">
        <w:rPr>
          <w:b/>
          <w:lang w:val="bg-BG"/>
        </w:rPr>
        <w:t>.0</w:t>
      </w:r>
      <w:r w:rsidR="00F66F75">
        <w:rPr>
          <w:b/>
          <w:lang w:val="en-US"/>
        </w:rPr>
        <w:t>7</w:t>
      </w:r>
      <w:r w:rsidR="006E3CA1" w:rsidRPr="006E3CA1">
        <w:rPr>
          <w:b/>
          <w:lang w:val="bg-BG"/>
        </w:rPr>
        <w:t xml:space="preserve">. до </w:t>
      </w:r>
      <w:r w:rsidR="007666F5">
        <w:rPr>
          <w:b/>
          <w:lang w:val="bg-BG"/>
        </w:rPr>
        <w:t>15</w:t>
      </w:r>
      <w:r w:rsidR="00081EF7">
        <w:rPr>
          <w:b/>
          <w:lang w:val="bg-BG"/>
        </w:rPr>
        <w:t>.07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7666F5">
        <w:t>11</w:t>
      </w:r>
      <w:r w:rsidR="006E3CA1">
        <w:rPr>
          <w:lang w:val="bg-BG"/>
        </w:rPr>
        <w:t>.0</w:t>
      </w:r>
      <w:r w:rsidR="00F66F75">
        <w:rPr>
          <w:lang w:val="en-US"/>
        </w:rPr>
        <w:t>7</w:t>
      </w:r>
      <w:r w:rsidR="006E3CA1">
        <w:rPr>
          <w:lang w:val="bg-BG"/>
        </w:rPr>
        <w:t xml:space="preserve">. до </w:t>
      </w:r>
      <w:r w:rsidR="007666F5">
        <w:rPr>
          <w:lang w:val="en-US"/>
        </w:rPr>
        <w:t>15</w:t>
      </w:r>
      <w:r w:rsidR="006E3CA1">
        <w:rPr>
          <w:lang w:val="bg-BG"/>
        </w:rPr>
        <w:t>.0</w:t>
      </w:r>
      <w:r w:rsidR="00AA7A7A">
        <w:rPr>
          <w:lang w:val="bg-BG"/>
        </w:rPr>
        <w:t>7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7666F5">
        <w:rPr>
          <w:lang w:val="en-US"/>
        </w:rPr>
        <w:t>75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7666F5">
        <w:rPr>
          <w:lang w:val="en-US"/>
        </w:rPr>
        <w:t>75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7666F5">
        <w:rPr>
          <w:lang w:val="bg-BG"/>
        </w:rPr>
        <w:t>1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7666F5">
        <w:rPr>
          <w:lang w:val="bg-BG"/>
        </w:rPr>
        <w:t>6</w:t>
      </w:r>
      <w:r w:rsidR="00474921">
        <w:rPr>
          <w:lang w:val="bg-BG"/>
        </w:rPr>
        <w:t xml:space="preserve"> </w:t>
      </w:r>
      <w:r w:rsidR="004B5528">
        <w:rPr>
          <w:lang w:val="bg-BG"/>
        </w:rPr>
        <w:t>обект за хранене и развлечение</w:t>
      </w:r>
      <w:r w:rsidR="007666F5">
        <w:rPr>
          <w:lang w:val="en-US"/>
        </w:rPr>
        <w:t xml:space="preserve">, </w:t>
      </w:r>
      <w:r w:rsidR="007666F5">
        <w:rPr>
          <w:lang w:val="bg-BG"/>
        </w:rPr>
        <w:t xml:space="preserve">12 лечебни и здравни заведения </w:t>
      </w:r>
      <w:r w:rsidR="00FC4D7D">
        <w:rPr>
          <w:lang w:val="en-US"/>
        </w:rPr>
        <w:t xml:space="preserve"> и </w:t>
      </w:r>
      <w:r w:rsidR="007666F5">
        <w:rPr>
          <w:lang w:val="bg-BG"/>
        </w:rPr>
        <w:t>56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Pr="005A17B8">
        <w:rPr>
          <w:b/>
        </w:rPr>
        <w:t>ОРЛИН ДИМИТРОВ</w:t>
      </w:r>
    </w:p>
    <w:p w:rsidR="00FB6C6D" w:rsidRPr="005A17B8" w:rsidRDefault="00FB6C6D" w:rsidP="00FB6C6D">
      <w:pPr>
        <w:tabs>
          <w:tab w:val="left" w:pos="1134"/>
        </w:tabs>
        <w:jc w:val="both"/>
        <w:outlineLvl w:val="0"/>
        <w:rPr>
          <w:i/>
          <w:lang w:val="bg-BG"/>
        </w:rPr>
      </w:pPr>
      <w:r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90" w:rsidRDefault="00195D90" w:rsidP="00617955">
      <w:r>
        <w:separator/>
      </w:r>
    </w:p>
  </w:endnote>
  <w:endnote w:type="continuationSeparator" w:id="0">
    <w:p w:rsidR="00195D90" w:rsidRDefault="00195D90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90" w:rsidRDefault="00195D90" w:rsidP="00617955">
      <w:r>
        <w:separator/>
      </w:r>
    </w:p>
  </w:footnote>
  <w:footnote w:type="continuationSeparator" w:id="0">
    <w:p w:rsidR="00195D90" w:rsidRDefault="00195D90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7310"/>
    <w:rsid w:val="004D7581"/>
    <w:rsid w:val="004F0E9D"/>
    <w:rsid w:val="004F2308"/>
    <w:rsid w:val="004F303A"/>
    <w:rsid w:val="004F4A59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33E3F"/>
    <w:rsid w:val="009424A8"/>
    <w:rsid w:val="00947896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54DD"/>
    <w:rsid w:val="00CC0D90"/>
    <w:rsid w:val="00CD1AF5"/>
    <w:rsid w:val="00CD2577"/>
    <w:rsid w:val="00CD6994"/>
    <w:rsid w:val="00CE5CB7"/>
    <w:rsid w:val="00CE7AB8"/>
    <w:rsid w:val="00CF0B90"/>
    <w:rsid w:val="00D037C0"/>
    <w:rsid w:val="00D06DC8"/>
    <w:rsid w:val="00D1016D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12C623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D90B-E7AD-4E01-8CB4-C3D2A4C7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>Директор на Регионална здравна инспекция - Враца</vt:lpstr>
      <vt:lpstr>Р Е П У Б Л И К А    Б Ъ Л ГА Р И Я</vt:lpstr>
    </vt:vector>
  </TitlesOfParts>
  <Company>Grizli777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6</cp:revision>
  <cp:lastPrinted>2020-01-29T09:01:00Z</cp:lastPrinted>
  <dcterms:created xsi:type="dcterms:W3CDTF">2022-07-18T06:25:00Z</dcterms:created>
  <dcterms:modified xsi:type="dcterms:W3CDTF">2022-07-18T07:58:00Z</dcterms:modified>
</cp:coreProperties>
</file>