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06506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9B1CD7">
        <w:rPr>
          <w:sz w:val="22"/>
          <w:szCs w:val="22"/>
        </w:rPr>
        <w:t>Орлин Димитров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405E0B" w:rsidRDefault="009B1CD7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АНТИКОРУПЦИОНЕН ПЛАН</w:t>
      </w:r>
      <w:r w:rsidR="00DA0C72">
        <w:t xml:space="preserve"> НА РЗИ-ВРАЦА </w:t>
      </w:r>
    </w:p>
    <w:p w:rsidR="001C3EA7" w:rsidRDefault="009B1CD7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ЗА ПЪРВОТО ПОЛУГОДИЕ НА 2021Г.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F15E82">
        <w:trPr>
          <w:trHeight w:hRule="exact" w:val="172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232C75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 w:rsidP="00F15E82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F15E82" w:rsidRDefault="00361E74" w:rsidP="00361E74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15E82">
              <w:rPr>
                <w:rFonts w:ascii="Times New Roman" w:hAnsi="Times New Roman" w:cs="Times New Roman"/>
              </w:rPr>
              <w:t>ктуализирани действащи правила и процедури от СФУК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232C75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1.Изпълнено</w:t>
            </w:r>
          </w:p>
          <w:p w:rsidR="00C401BA" w:rsidRPr="00C401BA" w:rsidRDefault="00C401BA" w:rsidP="00C401BA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Повиш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C401BA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401BA">
              <w:rPr>
                <w:rFonts w:ascii="Times New Roman" w:eastAsia="Calibri" w:hAnsi="Times New Roman" w:cs="Times New Roman"/>
              </w:rPr>
              <w:t xml:space="preserve"> знания, опит и квалификация на служителите</w:t>
            </w:r>
          </w:p>
          <w:p w:rsidR="00C401BA" w:rsidRPr="00C401BA" w:rsidRDefault="00C401BA" w:rsidP="00C401BA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Осъществ</w:t>
            </w:r>
            <w:r>
              <w:rPr>
                <w:rFonts w:ascii="Times New Roman" w:eastAsia="Calibri" w:hAnsi="Times New Roman" w:cs="Times New Roman"/>
              </w:rPr>
              <w:t xml:space="preserve">ен </w:t>
            </w:r>
            <w:r w:rsidRPr="00C401BA">
              <w:rPr>
                <w:rFonts w:ascii="Times New Roman" w:eastAsia="Calibri" w:hAnsi="Times New Roman" w:cs="Times New Roman"/>
              </w:rPr>
              <w:t>качествен контрол</w:t>
            </w:r>
          </w:p>
          <w:p w:rsidR="00F15E82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Изпълнено:</w:t>
            </w:r>
          </w:p>
          <w:p w:rsidR="00F15E82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извършени </w:t>
            </w:r>
            <w:r w:rsidR="00405E0B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бр. проверки</w:t>
            </w:r>
          </w:p>
          <w:p w:rsidR="00F15E82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Изпълнено:</w:t>
            </w: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Извършени 2 бр. проверки.</w:t>
            </w: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354C09" w:rsidRDefault="00354C09" w:rsidP="00354C09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Pr="00F15E82" w:rsidRDefault="00721A53" w:rsidP="00354C09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4. Изпълнено: Извършени 10 бр. проверки.</w:t>
            </w: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1.Изпълнено.</w:t>
            </w: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Изпълнено.</w:t>
            </w:r>
          </w:p>
          <w:p w:rsidR="00405E0B" w:rsidRP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405E0B">
        <w:trPr>
          <w:trHeight w:hRule="exact" w:val="17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405E0B" w:rsidRP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РЗИ-Враца е удостоена с етикета „Ефективен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потребител“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>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2.Главния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секретар организира и координира публикуването на информацията.</w:t>
            </w:r>
          </w:p>
          <w:p w:rsidR="004A2B8E" w:rsidRPr="0001026A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405E0B">
            <w:pPr>
              <w:pStyle w:val="ListParagraph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645F1E" w:rsidP="00405E0B">
            <w:pPr>
              <w:pStyle w:val="ListParagraph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645F1E" w:rsidRPr="00405E0B" w:rsidRDefault="00645F1E" w:rsidP="00405E0B">
            <w:pPr>
              <w:pStyle w:val="ListParagraph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Издадени и разпространени листовки „Не на корупцията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  <w:p w:rsidR="00405E0B" w:rsidRP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Предотврятяване и разкриване на измами и нередности,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F2" w:rsidRDefault="00696CF2">
      <w:r>
        <w:separator/>
      </w:r>
    </w:p>
  </w:endnote>
  <w:endnote w:type="continuationSeparator" w:id="0">
    <w:p w:rsidR="00696CF2" w:rsidRDefault="0069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F2" w:rsidRDefault="00696CF2"/>
  </w:footnote>
  <w:footnote w:type="continuationSeparator" w:id="0">
    <w:p w:rsidR="00696CF2" w:rsidRDefault="00696C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6AEA"/>
    <w:multiLevelType w:val="hybridMultilevel"/>
    <w:tmpl w:val="0CBA8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7463C"/>
    <w:rsid w:val="00175402"/>
    <w:rsid w:val="001C1747"/>
    <w:rsid w:val="001C3EA7"/>
    <w:rsid w:val="001E1C33"/>
    <w:rsid w:val="001E5B5A"/>
    <w:rsid w:val="00232C75"/>
    <w:rsid w:val="00256799"/>
    <w:rsid w:val="00261943"/>
    <w:rsid w:val="002B231A"/>
    <w:rsid w:val="002C0C5B"/>
    <w:rsid w:val="002C2C92"/>
    <w:rsid w:val="002F419E"/>
    <w:rsid w:val="00300E77"/>
    <w:rsid w:val="00306CB4"/>
    <w:rsid w:val="00324773"/>
    <w:rsid w:val="00354C09"/>
    <w:rsid w:val="00361E74"/>
    <w:rsid w:val="00392536"/>
    <w:rsid w:val="003D5CC1"/>
    <w:rsid w:val="00405E0B"/>
    <w:rsid w:val="004143B8"/>
    <w:rsid w:val="00437D74"/>
    <w:rsid w:val="00454D0E"/>
    <w:rsid w:val="00463FFB"/>
    <w:rsid w:val="00473320"/>
    <w:rsid w:val="00486371"/>
    <w:rsid w:val="004A2B8E"/>
    <w:rsid w:val="004A51C3"/>
    <w:rsid w:val="004A7414"/>
    <w:rsid w:val="004D559B"/>
    <w:rsid w:val="0050118C"/>
    <w:rsid w:val="00522199"/>
    <w:rsid w:val="00572A67"/>
    <w:rsid w:val="0058485B"/>
    <w:rsid w:val="00584C30"/>
    <w:rsid w:val="005D2BF8"/>
    <w:rsid w:val="00607202"/>
    <w:rsid w:val="00645F1E"/>
    <w:rsid w:val="00655747"/>
    <w:rsid w:val="00661331"/>
    <w:rsid w:val="006804AF"/>
    <w:rsid w:val="006915E8"/>
    <w:rsid w:val="00696CF2"/>
    <w:rsid w:val="006A3EC5"/>
    <w:rsid w:val="006D59E4"/>
    <w:rsid w:val="00721A53"/>
    <w:rsid w:val="00755073"/>
    <w:rsid w:val="00776AC2"/>
    <w:rsid w:val="007846B2"/>
    <w:rsid w:val="007C2DF3"/>
    <w:rsid w:val="007E71C8"/>
    <w:rsid w:val="0081766E"/>
    <w:rsid w:val="0088536E"/>
    <w:rsid w:val="008B5247"/>
    <w:rsid w:val="008B646C"/>
    <w:rsid w:val="008C2D5A"/>
    <w:rsid w:val="00931A1F"/>
    <w:rsid w:val="00951582"/>
    <w:rsid w:val="00953FD1"/>
    <w:rsid w:val="009A38E6"/>
    <w:rsid w:val="009B1CD7"/>
    <w:rsid w:val="00AC6B35"/>
    <w:rsid w:val="00AE4CC5"/>
    <w:rsid w:val="00B36954"/>
    <w:rsid w:val="00B66D24"/>
    <w:rsid w:val="00B9143D"/>
    <w:rsid w:val="00BA1FE0"/>
    <w:rsid w:val="00BD771D"/>
    <w:rsid w:val="00C03387"/>
    <w:rsid w:val="00C401BA"/>
    <w:rsid w:val="00C86AF4"/>
    <w:rsid w:val="00CE65E3"/>
    <w:rsid w:val="00D0658A"/>
    <w:rsid w:val="00D114F6"/>
    <w:rsid w:val="00D13227"/>
    <w:rsid w:val="00D52791"/>
    <w:rsid w:val="00D7745C"/>
    <w:rsid w:val="00D815C0"/>
    <w:rsid w:val="00DA0C72"/>
    <w:rsid w:val="00DC05B0"/>
    <w:rsid w:val="00E20579"/>
    <w:rsid w:val="00E52987"/>
    <w:rsid w:val="00ED7FF5"/>
    <w:rsid w:val="00EE020B"/>
    <w:rsid w:val="00F12B60"/>
    <w:rsid w:val="00F15E82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AE4E-EA10-4BAD-B690-EF2CD588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cp:lastPrinted>2019-12-16T14:27:00Z</cp:lastPrinted>
  <dcterms:created xsi:type="dcterms:W3CDTF">2021-07-06T13:04:00Z</dcterms:created>
  <dcterms:modified xsi:type="dcterms:W3CDTF">2021-07-06T13:04:00Z</dcterms:modified>
</cp:coreProperties>
</file>