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7" w:rsidRDefault="001E5B5A">
      <w:pPr>
        <w:rPr>
          <w:sz w:val="2"/>
          <w:szCs w:val="2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2030730</wp:posOffset>
                </wp:positionV>
                <wp:extent cx="9101455" cy="3801110"/>
                <wp:effectExtent l="0" t="0" r="444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38011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B06506" id="Rectangle 2" o:spid="_x0000_s1026" style="position:absolute;margin-left:49pt;margin-top:159.9pt;width:716.65pt;height:2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    <w10:wrap anchorx="page" anchory="page"/>
              </v:rect>
            </w:pict>
          </mc:Fallback>
        </mc:AlternateContent>
      </w:r>
    </w:p>
    <w:p w:rsidR="001C3EA7" w:rsidRPr="008B646C" w:rsidRDefault="001E1C33">
      <w:pPr>
        <w:pStyle w:val="a0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50118C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>Утвърдил:</w:t>
      </w:r>
    </w:p>
    <w:p w:rsidR="001C3EA7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 xml:space="preserve">д-р </w:t>
      </w:r>
      <w:r w:rsidR="001F39C4">
        <w:rPr>
          <w:sz w:val="22"/>
          <w:szCs w:val="22"/>
        </w:rPr>
        <w:t>Орлин Димитров</w:t>
      </w:r>
    </w:p>
    <w:p w:rsidR="00DA0C72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  <w:jc w:val="right"/>
      </w:pPr>
      <w:r>
        <w:t>(подпис)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</w:pPr>
      <w:r>
        <w:t>Дата:</w:t>
      </w:r>
    </w:p>
    <w:p w:rsidR="001C3EA7" w:rsidRDefault="00691D2A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 xml:space="preserve">ИЗПЪЛНЕНИЕ НА </w:t>
      </w:r>
      <w:r w:rsidR="001E1C33">
        <w:t>АНТИКОРУПЦИОНЕН ПЛАН</w:t>
      </w:r>
      <w:r w:rsidR="00DA0C72">
        <w:t xml:space="preserve"> НА РЗИ-ВРАЦА ЗА 20</w:t>
      </w:r>
      <w:r w:rsidR="001E5B5A">
        <w:t>2</w:t>
      </w:r>
      <w:r w:rsidR="001F39C4">
        <w:t>2</w:t>
      </w:r>
      <w:r w:rsidR="00DA0C72">
        <w:t xml:space="preserve"> ГОДИНА</w:t>
      </w:r>
    </w:p>
    <w:p w:rsidR="00691D2A" w:rsidRDefault="00691D2A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ЗА ПЪРВОТО ПОЛУГОДИЕ НА 2022Г.</w:t>
      </w:r>
    </w:p>
    <w:p w:rsidR="001C3EA7" w:rsidRDefault="001E1C33">
      <w:pPr>
        <w:pStyle w:val="a2"/>
        <w:framePr w:wrap="none" w:vAnchor="page" w:hAnchor="page" w:x="1072" w:y="4502"/>
        <w:shd w:val="clear" w:color="auto" w:fill="auto"/>
        <w:spacing w:line="220" w:lineRule="exact"/>
      </w:pPr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8315F2">
        <w:trPr>
          <w:trHeight w:hRule="exact" w:val="17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на действащи правила и процедури 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1F39C4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F39C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8315F2">
            <w:pPr>
              <w:framePr w:w="14333" w:h="4258" w:wrap="none" w:vAnchor="page" w:hAnchor="page" w:x="981" w:y="4927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  <w:r w:rsidR="00A939C0">
              <w:rPr>
                <w:rFonts w:ascii="Times New Roman" w:hAnsi="Times New Roman" w:cs="Times New Roman"/>
              </w:rPr>
              <w:t>Актуализирани действащи правила и процедури от СФУК</w:t>
            </w:r>
            <w:r w:rsidR="001B2824">
              <w:rPr>
                <w:rFonts w:ascii="Times New Roman" w:hAnsi="Times New Roman" w:cs="Times New Roman"/>
              </w:rPr>
              <w:t>- 7 бр</w:t>
            </w:r>
            <w:bookmarkStart w:id="0" w:name="_GoBack"/>
            <w:bookmarkEnd w:id="0"/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 w:rsidSect="00F12B60">
          <w:pgSz w:w="16840" w:h="11900" w:orient="landscape"/>
          <w:pgMar w:top="567" w:right="720" w:bottom="567" w:left="72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555"/>
        <w:gridCol w:w="1224"/>
        <w:gridCol w:w="1613"/>
        <w:gridCol w:w="1771"/>
      </w:tblGrid>
      <w:tr w:rsidR="001C3EA7" w:rsidTr="00BA1FE0">
        <w:trPr>
          <w:trHeight w:hRule="exact" w:val="737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12B60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F12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Pr="00C03387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Извършване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</w:t>
            </w:r>
            <w:r w:rsidR="008853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за утвърждаване на Медицински стандарт Психиатрия.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 xml:space="preserve">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D82CF7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82CF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A3EC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C0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</w:rPr>
              <w:t>Изпълнено</w:t>
            </w:r>
          </w:p>
          <w:p w:rsidR="00A939C0" w:rsidRPr="00C401BA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 w:rsidRPr="00C401BA">
              <w:rPr>
                <w:rFonts w:ascii="Times New Roman" w:eastAsia="Calibri" w:hAnsi="Times New Roman" w:cs="Times New Roman"/>
              </w:rPr>
              <w:t>Повиш</w:t>
            </w:r>
            <w:r>
              <w:rPr>
                <w:rFonts w:ascii="Times New Roman" w:eastAsia="Calibri" w:hAnsi="Times New Roman" w:cs="Times New Roman"/>
              </w:rPr>
              <w:t>е</w:t>
            </w:r>
            <w:r w:rsidRPr="00C401BA"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C401BA">
              <w:rPr>
                <w:rFonts w:ascii="Times New Roman" w:eastAsia="Calibri" w:hAnsi="Times New Roman" w:cs="Times New Roman"/>
              </w:rPr>
              <w:t xml:space="preserve"> знания, опит и квалификация на служителите</w:t>
            </w:r>
          </w:p>
          <w:p w:rsidR="00A939C0" w:rsidRPr="00C401BA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 w:rsidRPr="00C401BA">
              <w:rPr>
                <w:rFonts w:ascii="Times New Roman" w:eastAsia="Calibri" w:hAnsi="Times New Roman" w:cs="Times New Roman"/>
              </w:rPr>
              <w:t>Осъществ</w:t>
            </w:r>
            <w:r>
              <w:rPr>
                <w:rFonts w:ascii="Times New Roman" w:eastAsia="Calibri" w:hAnsi="Times New Roman" w:cs="Times New Roman"/>
              </w:rPr>
              <w:t xml:space="preserve">ен </w:t>
            </w:r>
            <w:r w:rsidRPr="00C401BA">
              <w:rPr>
                <w:rFonts w:ascii="Times New Roman" w:eastAsia="Calibri" w:hAnsi="Times New Roman" w:cs="Times New Roman"/>
              </w:rPr>
              <w:t>качествен контрол</w:t>
            </w:r>
          </w:p>
          <w:p w:rsidR="00A939C0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Изпълнено:</w:t>
            </w:r>
          </w:p>
          <w:p w:rsidR="00A939C0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извършени 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бр. проверки</w:t>
            </w:r>
          </w:p>
          <w:p w:rsidR="00A939C0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Изпълнено:</w:t>
            </w:r>
          </w:p>
          <w:p w:rsidR="00A939C0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Извършени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бр. проверки.</w:t>
            </w:r>
          </w:p>
          <w:p w:rsidR="001C3EA7" w:rsidRDefault="001C3EA7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  <w:p w:rsid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4. Изпълнено: Извършени 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бр. проверки.</w:t>
            </w:r>
          </w:p>
          <w:p w:rsidR="00A939C0" w:rsidRPr="00A939C0" w:rsidRDefault="00A939C0" w:rsidP="00BA1FE0">
            <w:pPr>
              <w:framePr w:w="14333" w:h="8232" w:wrap="none" w:vAnchor="page" w:hAnchor="page" w:x="1048" w:y="286"/>
              <w:rPr>
                <w:sz w:val="10"/>
                <w:szCs w:val="10"/>
                <w:lang w:val="en-US"/>
              </w:rPr>
            </w:pPr>
          </w:p>
        </w:tc>
      </w:tr>
      <w:tr w:rsidR="001C3EA7" w:rsidTr="00256799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 w:rsidTr="00F12B60">
        <w:trPr>
          <w:trHeight w:hRule="exact" w:val="107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при неизпълнение</w:t>
            </w:r>
          </w:p>
        </w:tc>
      </w:tr>
      <w:tr w:rsidR="001C3EA7" w:rsidTr="00BA1FE0">
        <w:trPr>
          <w:trHeight w:hRule="exact" w:val="17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  <w:p w:rsidR="00306CB4" w:rsidRPr="00261943" w:rsidRDefault="00306CB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9C0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1.Изпълнено.</w:t>
            </w:r>
          </w:p>
          <w:p w:rsidR="00A939C0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A939C0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A939C0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</w:p>
          <w:p w:rsidR="00A939C0" w:rsidRDefault="00A939C0" w:rsidP="00A939C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Изпълнено.</w:t>
            </w:r>
          </w:p>
          <w:p w:rsidR="001C3EA7" w:rsidRDefault="001C3EA7" w:rsidP="00BA1FE0">
            <w:pPr>
              <w:framePr w:w="14333" w:h="8232" w:wrap="none" w:vAnchor="page" w:hAnchor="page" w:x="1048" w:y="286"/>
              <w:rPr>
                <w:sz w:val="10"/>
                <w:szCs w:val="10"/>
              </w:rPr>
            </w:pPr>
          </w:p>
        </w:tc>
      </w:tr>
      <w:tr w:rsidR="001C3EA7" w:rsidTr="00BA1FE0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lastRenderedPageBreak/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 w:rsidRPr="00F12B60">
              <w:rPr>
                <w:rStyle w:val="21"/>
                <w:rFonts w:eastAsia="DejaVu Sans Condensed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Причини при неизпълнение</w:t>
            </w:r>
          </w:p>
        </w:tc>
      </w:tr>
      <w:tr w:rsidR="001C3EA7" w:rsidTr="006A3EC5">
        <w:trPr>
          <w:trHeight w:hRule="exact" w:val="579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 w:rsidTr="006A3EC5">
        <w:trPr>
          <w:trHeight w:hRule="exact" w:val="3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79"/>
        <w:gridCol w:w="1705"/>
      </w:tblGrid>
      <w:tr w:rsidR="001C3EA7" w:rsidTr="00F828E6">
        <w:trPr>
          <w:trHeight w:hRule="exact" w:val="15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1F39C4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Изпълнение на мерките</w:t>
            </w:r>
            <w:r w:rsidR="00F828E6">
              <w:rPr>
                <w:rFonts w:ascii="Times New Roman" w:hAnsi="Times New Roman" w:cs="Times New Roman"/>
                <w:sz w:val="22"/>
                <w:szCs w:val="22"/>
              </w:rPr>
              <w:t xml:space="preserve"> от Плана за подобрение 2020-2022г. по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 xml:space="preserve">европейския модел 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за качество </w:t>
            </w:r>
            <w:r w:rsidR="0009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>-2013 в РЗИ-Враца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6804AF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Подобряване на управлението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на администрация</w:t>
            </w:r>
          </w:p>
          <w:p w:rsidR="001C3EA7" w:rsidRPr="00097CDE" w:rsidRDefault="00097CD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</w:t>
            </w:r>
            <w:r w:rsidR="00F828E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828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6804AF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2D5A">
              <w:rPr>
                <w:rFonts w:ascii="Times New Roman" w:hAnsi="Times New Roman" w:cs="Times New Roman"/>
                <w:sz w:val="22"/>
                <w:szCs w:val="22"/>
              </w:rPr>
              <w:t>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8E6" w:rsidRDefault="00F828E6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Директорите на дирекции:</w:t>
            </w:r>
          </w:p>
          <w:p w:rsidR="001C3EA7" w:rsidRDefault="00F828E6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ДАПФСО; ДНЗБ;ДОЗ;ДЛИ;</w:t>
            </w:r>
          </w:p>
          <w:p w:rsidR="00F828E6" w:rsidRPr="008C2D5A" w:rsidRDefault="00F828E6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Ръководство на РЗИ-Враца.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39C0" w:rsidRDefault="00A939C0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</w:p>
          <w:p w:rsidR="00A939C0" w:rsidRPr="00A939C0" w:rsidRDefault="00A939C0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Изпълнението към момента е 83%.</w:t>
            </w:r>
          </w:p>
          <w:p w:rsidR="001C3EA7" w:rsidRDefault="001C3EA7" w:rsidP="00585553">
            <w:pPr>
              <w:framePr w:w="14333" w:h="7267" w:wrap="none" w:vAnchor="page" w:hAnchor="page" w:x="981" w:y="1636"/>
              <w:rPr>
                <w:sz w:val="10"/>
                <w:szCs w:val="10"/>
              </w:rPr>
            </w:pP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585553">
            <w:pPr>
              <w:pStyle w:val="20"/>
              <w:framePr w:w="14333" w:h="7267" w:wrap="none" w:vAnchor="page" w:hAnchor="page" w:x="981" w:y="163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 w:rsidTr="00C86AF4">
        <w:trPr>
          <w:trHeight w:hRule="exact"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585553">
            <w:pPr>
              <w:pStyle w:val="20"/>
              <w:framePr w:w="14333" w:h="7267" w:wrap="none" w:vAnchor="page" w:hAnchor="page" w:x="981" w:y="163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585553">
            <w:pPr>
              <w:pStyle w:val="20"/>
              <w:framePr w:w="14333" w:h="7267" w:wrap="none" w:vAnchor="page" w:hAnchor="page" w:x="981" w:y="163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585553">
            <w:pPr>
              <w:pStyle w:val="20"/>
              <w:framePr w:w="14333" w:h="7267" w:wrap="none" w:vAnchor="page" w:hAnchor="page" w:x="981" w:y="163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585553">
            <w:pPr>
              <w:pStyle w:val="20"/>
              <w:framePr w:w="14333" w:h="7267" w:wrap="none" w:vAnchor="page" w:hAnchor="page" w:x="981" w:y="1636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B9143D">
        <w:trPr>
          <w:trHeight w:hRule="exact" w:val="46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</w:t>
            </w:r>
            <w:r w:rsidR="00D82CF7">
              <w:rPr>
                <w:rFonts w:ascii="Times New Roman" w:hAnsi="Times New Roman" w:cs="Times New Roman"/>
                <w:sz w:val="22"/>
                <w:szCs w:val="22"/>
              </w:rPr>
              <w:t>ежедневно;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43D" w:rsidRPr="00776AC2" w:rsidRDefault="0001026A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>Главния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 xml:space="preserve"> секретар организира и координира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публикуването на информацията.</w:t>
            </w: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6AC2" w:rsidRPr="00776AC2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2.Главния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секретар организира и координира публикуването на информацията.</w:t>
            </w:r>
          </w:p>
          <w:p w:rsidR="004A2B8E" w:rsidRPr="0001026A" w:rsidRDefault="004A2B8E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275" w:rsidRDefault="00295275" w:rsidP="00585553">
            <w:pPr>
              <w:pStyle w:val="ListParagraph"/>
              <w:framePr w:w="14333" w:h="7267" w:wrap="none" w:vAnchor="page" w:hAnchor="page" w:x="981" w:y="163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</w:rPr>
            </w:pPr>
          </w:p>
          <w:p w:rsidR="00295275" w:rsidRDefault="00295275" w:rsidP="00585553">
            <w:pPr>
              <w:pStyle w:val="ListParagraph"/>
              <w:framePr w:w="14333" w:h="7267" w:wrap="none" w:vAnchor="page" w:hAnchor="page" w:x="981" w:y="163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Изпълнено.</w:t>
            </w:r>
          </w:p>
          <w:p w:rsidR="00295275" w:rsidRPr="00405E0B" w:rsidRDefault="00295275" w:rsidP="00585553">
            <w:pPr>
              <w:pStyle w:val="ListParagraph"/>
              <w:framePr w:w="14333" w:h="7267" w:wrap="none" w:vAnchor="page" w:hAnchor="page" w:x="981" w:y="163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45F1E">
              <w:rPr>
                <w:rFonts w:ascii="Times New Roman" w:hAnsi="Times New Roman" w:cs="Times New Roman"/>
              </w:rPr>
              <w:t>Издадени и разпространени листовки „Не на корупцията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“.</w:t>
            </w:r>
          </w:p>
          <w:p w:rsidR="001C3EA7" w:rsidRDefault="001C3EA7" w:rsidP="00585553">
            <w:pPr>
              <w:framePr w:w="14333" w:h="7267" w:wrap="none" w:vAnchor="page" w:hAnchor="page" w:x="981" w:y="1636"/>
              <w:rPr>
                <w:sz w:val="10"/>
                <w:szCs w:val="10"/>
              </w:rPr>
            </w:pP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585553">
            <w:pPr>
              <w:pStyle w:val="20"/>
              <w:framePr w:w="14333" w:h="7267" w:wrap="none" w:vAnchor="page" w:hAnchor="page" w:x="981" w:y="163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 w:rsidTr="00AC6B35">
        <w:trPr>
          <w:trHeight w:hRule="exact" w:val="6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AC6B35" w:rsidP="00585553">
            <w:pPr>
              <w:pStyle w:val="20"/>
              <w:framePr w:w="14333" w:h="7267" w:wrap="none" w:vAnchor="page" w:hAnchor="page" w:x="981" w:y="163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585553">
            <w:pPr>
              <w:pStyle w:val="20"/>
              <w:framePr w:w="14333" w:h="7267" w:wrap="none" w:vAnchor="page" w:hAnchor="page" w:x="981" w:y="1636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585553">
            <w:pPr>
              <w:pStyle w:val="20"/>
              <w:framePr w:w="14333" w:h="7267" w:wrap="none" w:vAnchor="page" w:hAnchor="page" w:x="981" w:y="163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</w:tr>
      <w:tr w:rsidR="001C3EA7" w:rsidTr="008315F2">
        <w:trPr>
          <w:trHeight w:hRule="exact" w:val="209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585553">
            <w:pPr>
              <w:framePr w:w="14333" w:h="7267" w:wrap="none" w:vAnchor="page" w:hAnchor="page" w:x="981" w:y="1636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585553">
            <w:pPr>
              <w:framePr w:w="14333" w:h="7267" w:wrap="none" w:vAnchor="page" w:hAnchor="page" w:x="981" w:y="16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Задължения и проверка на декларациите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 xml:space="preserve"> за имущество и интереси;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и за 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>несъвместимост,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на лица, заемащи публична длъ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жност</w:t>
            </w:r>
            <w:r w:rsidR="004143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съгласно За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>кона за противодействие на корупцията и отнемане на незаконно придобитото 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Default="00F92A1D" w:rsidP="00585553">
            <w:pPr>
              <w:framePr w:w="14333" w:h="7267" w:wrap="none" w:vAnchor="page" w:hAnchor="page" w:x="981" w:y="16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585553">
              <w:rPr>
                <w:rFonts w:ascii="Times New Roman" w:hAnsi="Times New Roman" w:cs="Times New Roman"/>
                <w:sz w:val="22"/>
                <w:szCs w:val="22"/>
              </w:rPr>
              <w:t>СФУК; Стратегия за управление на риска ; ЕК; Вътрешни правила за антикорупция.</w:t>
            </w:r>
          </w:p>
          <w:p w:rsidR="00F92A1D" w:rsidRPr="00607202" w:rsidRDefault="00F92A1D" w:rsidP="00585553">
            <w:pPr>
              <w:framePr w:w="14333" w:h="7267" w:wrap="none" w:vAnchor="page" w:hAnchor="page" w:x="981" w:y="1636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1.Публикувани декларации.</w:t>
            </w:r>
          </w:p>
          <w:p w:rsidR="00F92A1D" w:rsidRDefault="00F92A1D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585553">
            <w:pPr>
              <w:framePr w:w="14333" w:h="7267" w:wrap="none" w:vAnchor="page" w:hAnchor="page" w:x="981" w:y="163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7C2DF3" w:rsidRDefault="007C2DF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b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0376D7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Процедура за защита на подалите сигнали за корупция</w:t>
            </w:r>
            <w:r w:rsidR="00D52791">
              <w:rPr>
                <w:rStyle w:val="21"/>
              </w:rPr>
              <w:t xml:space="preserve"> в РЗИ-Враца.</w:t>
            </w: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76AC2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Главен секретар на РЗИ - Враца</w:t>
            </w:r>
          </w:p>
        </w:tc>
      </w:tr>
    </w:tbl>
    <w:p w:rsidR="00F92A1D" w:rsidRDefault="00F92A1D" w:rsidP="00F92A1D">
      <w:pPr>
        <w:pStyle w:val="a2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40" w:rsidRDefault="00AA6A40">
      <w:r>
        <w:separator/>
      </w:r>
    </w:p>
  </w:endnote>
  <w:endnote w:type="continuationSeparator" w:id="0">
    <w:p w:rsidR="00AA6A40" w:rsidRDefault="00AA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40" w:rsidRDefault="00AA6A40"/>
  </w:footnote>
  <w:footnote w:type="continuationSeparator" w:id="0">
    <w:p w:rsidR="00AA6A40" w:rsidRDefault="00AA6A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F6AEA"/>
    <w:multiLevelType w:val="hybridMultilevel"/>
    <w:tmpl w:val="0CBA8A2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7"/>
    <w:rsid w:val="00003285"/>
    <w:rsid w:val="0001026A"/>
    <w:rsid w:val="000376D7"/>
    <w:rsid w:val="00097CDE"/>
    <w:rsid w:val="000B3659"/>
    <w:rsid w:val="0017463C"/>
    <w:rsid w:val="00175402"/>
    <w:rsid w:val="001B2824"/>
    <w:rsid w:val="001C1747"/>
    <w:rsid w:val="001C3EA7"/>
    <w:rsid w:val="001E1C33"/>
    <w:rsid w:val="001E5B5A"/>
    <w:rsid w:val="001F39C4"/>
    <w:rsid w:val="00232C75"/>
    <w:rsid w:val="00256799"/>
    <w:rsid w:val="00261943"/>
    <w:rsid w:val="00295275"/>
    <w:rsid w:val="002B231A"/>
    <w:rsid w:val="002C0C5B"/>
    <w:rsid w:val="002C2C92"/>
    <w:rsid w:val="002F419E"/>
    <w:rsid w:val="00300E77"/>
    <w:rsid w:val="00306CB4"/>
    <w:rsid w:val="00324773"/>
    <w:rsid w:val="00392536"/>
    <w:rsid w:val="003D5CC1"/>
    <w:rsid w:val="004143B8"/>
    <w:rsid w:val="00437D74"/>
    <w:rsid w:val="00454D0E"/>
    <w:rsid w:val="00463FFB"/>
    <w:rsid w:val="00473320"/>
    <w:rsid w:val="00486371"/>
    <w:rsid w:val="004A2B8E"/>
    <w:rsid w:val="004A7414"/>
    <w:rsid w:val="004D559B"/>
    <w:rsid w:val="0050118C"/>
    <w:rsid w:val="00522199"/>
    <w:rsid w:val="00572A67"/>
    <w:rsid w:val="0058485B"/>
    <w:rsid w:val="00585553"/>
    <w:rsid w:val="005D2BF8"/>
    <w:rsid w:val="00607202"/>
    <w:rsid w:val="00655747"/>
    <w:rsid w:val="00661331"/>
    <w:rsid w:val="006804AF"/>
    <w:rsid w:val="006915E8"/>
    <w:rsid w:val="00691D2A"/>
    <w:rsid w:val="006A3EC5"/>
    <w:rsid w:val="006D59E4"/>
    <w:rsid w:val="007267D6"/>
    <w:rsid w:val="00755073"/>
    <w:rsid w:val="00776AC2"/>
    <w:rsid w:val="007B235C"/>
    <w:rsid w:val="007C2DF3"/>
    <w:rsid w:val="007E71C8"/>
    <w:rsid w:val="0081766E"/>
    <w:rsid w:val="008315F2"/>
    <w:rsid w:val="0088536E"/>
    <w:rsid w:val="008B5247"/>
    <w:rsid w:val="008B646C"/>
    <w:rsid w:val="008C2D5A"/>
    <w:rsid w:val="00931A1F"/>
    <w:rsid w:val="00951582"/>
    <w:rsid w:val="00953FD1"/>
    <w:rsid w:val="009A38E6"/>
    <w:rsid w:val="00A939C0"/>
    <w:rsid w:val="00AA6A40"/>
    <w:rsid w:val="00AC6B35"/>
    <w:rsid w:val="00AE4CC5"/>
    <w:rsid w:val="00B36954"/>
    <w:rsid w:val="00B66D24"/>
    <w:rsid w:val="00B9143D"/>
    <w:rsid w:val="00BA1FE0"/>
    <w:rsid w:val="00BD771D"/>
    <w:rsid w:val="00C03387"/>
    <w:rsid w:val="00C86AF4"/>
    <w:rsid w:val="00CE65E3"/>
    <w:rsid w:val="00D0658A"/>
    <w:rsid w:val="00D114F6"/>
    <w:rsid w:val="00D13227"/>
    <w:rsid w:val="00D52791"/>
    <w:rsid w:val="00D7745C"/>
    <w:rsid w:val="00D815C0"/>
    <w:rsid w:val="00D82CF7"/>
    <w:rsid w:val="00DA0C72"/>
    <w:rsid w:val="00DC05B0"/>
    <w:rsid w:val="00E20579"/>
    <w:rsid w:val="00E23718"/>
    <w:rsid w:val="00E52987"/>
    <w:rsid w:val="00E9665E"/>
    <w:rsid w:val="00ED7FF5"/>
    <w:rsid w:val="00EE020B"/>
    <w:rsid w:val="00F12B60"/>
    <w:rsid w:val="00F2357E"/>
    <w:rsid w:val="00F81988"/>
    <w:rsid w:val="00F828E6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B328-A2B9-4611-9ECA-9714D838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Todorova</cp:lastModifiedBy>
  <cp:revision>2</cp:revision>
  <cp:lastPrinted>2019-12-16T14:27:00Z</cp:lastPrinted>
  <dcterms:created xsi:type="dcterms:W3CDTF">2022-07-12T07:14:00Z</dcterms:created>
  <dcterms:modified xsi:type="dcterms:W3CDTF">2022-07-12T07:14:00Z</dcterms:modified>
</cp:coreProperties>
</file>