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A7" w:rsidRDefault="001E5B5A">
      <w:pPr>
        <w:rPr>
          <w:sz w:val="2"/>
          <w:szCs w:val="2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2030730</wp:posOffset>
                </wp:positionV>
                <wp:extent cx="9101455" cy="3801110"/>
                <wp:effectExtent l="0" t="0" r="444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1455" cy="3801110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9pt;margin-top:159.9pt;width:716.65pt;height:29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" fillcolor="#e2f0d9" stroked="f">
                <w10:wrap anchorx="page" anchory="page"/>
              </v:rect>
            </w:pict>
          </mc:Fallback>
        </mc:AlternateContent>
      </w:r>
    </w:p>
    <w:p w:rsidR="001C3EA7" w:rsidRPr="008B646C" w:rsidRDefault="001E1C33">
      <w:pPr>
        <w:pStyle w:val="a0"/>
        <w:framePr w:wrap="none" w:vAnchor="page" w:hAnchor="page" w:x="1394" w:y="1418"/>
        <w:shd w:val="clear" w:color="auto" w:fill="auto"/>
        <w:spacing w:line="240" w:lineRule="exact"/>
        <w:rPr>
          <w:sz w:val="22"/>
          <w:szCs w:val="22"/>
        </w:rPr>
      </w:pPr>
      <w:r w:rsidRPr="008B646C">
        <w:rPr>
          <w:sz w:val="22"/>
          <w:szCs w:val="22"/>
        </w:rPr>
        <w:t>Приложение към насоки, приети от Националния съвет по антикорупционни политики</w:t>
      </w:r>
    </w:p>
    <w:p w:rsidR="001C3EA7" w:rsidRPr="00727CF7" w:rsidRDefault="001E1C33">
      <w:pPr>
        <w:pStyle w:val="30"/>
        <w:framePr w:w="2174" w:h="950" w:hRule="exact" w:wrap="none" w:vAnchor="page" w:hAnchor="page" w:x="11599" w:y="1972"/>
        <w:shd w:val="clear" w:color="auto" w:fill="auto"/>
        <w:rPr>
          <w:sz w:val="16"/>
          <w:szCs w:val="16"/>
        </w:rPr>
      </w:pPr>
      <w:r w:rsidRPr="00727CF7">
        <w:rPr>
          <w:sz w:val="16"/>
          <w:szCs w:val="16"/>
        </w:rPr>
        <w:t>Утвърдил:</w:t>
      </w:r>
      <w:r w:rsidR="00727CF7" w:rsidRPr="00727CF7">
        <w:rPr>
          <w:sz w:val="16"/>
          <w:szCs w:val="16"/>
        </w:rPr>
        <w:t xml:space="preserve"> </w:t>
      </w:r>
      <w:r w:rsidR="00DA0C72" w:rsidRPr="00727CF7">
        <w:rPr>
          <w:sz w:val="16"/>
          <w:szCs w:val="16"/>
        </w:rPr>
        <w:t xml:space="preserve">д-р </w:t>
      </w:r>
      <w:r w:rsidR="00727CF7">
        <w:rPr>
          <w:sz w:val="16"/>
          <w:szCs w:val="16"/>
        </w:rPr>
        <w:t>Чавдар Манов</w:t>
      </w:r>
    </w:p>
    <w:p w:rsidR="00DA0C72" w:rsidRDefault="00727CF7">
      <w:pPr>
        <w:pStyle w:val="30"/>
        <w:framePr w:w="2174" w:h="950" w:hRule="exact" w:wrap="none" w:vAnchor="page" w:hAnchor="page" w:x="11599" w:y="1972"/>
        <w:shd w:val="clear" w:color="auto" w:fill="auto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 xml:space="preserve">За </w:t>
      </w:r>
      <w:r w:rsidR="00DA0C72" w:rsidRPr="00727CF7">
        <w:rPr>
          <w:b w:val="0"/>
          <w:i/>
          <w:sz w:val="16"/>
          <w:szCs w:val="16"/>
        </w:rPr>
        <w:t>Директор РЗИ</w:t>
      </w:r>
      <w:r w:rsidR="0050118C" w:rsidRPr="00727CF7">
        <w:rPr>
          <w:b w:val="0"/>
          <w:i/>
          <w:sz w:val="16"/>
          <w:szCs w:val="16"/>
        </w:rPr>
        <w:t>-</w:t>
      </w:r>
      <w:r w:rsidR="00DA0C72" w:rsidRPr="00727CF7">
        <w:rPr>
          <w:b w:val="0"/>
          <w:i/>
          <w:sz w:val="16"/>
          <w:szCs w:val="16"/>
        </w:rPr>
        <w:t>Враца</w:t>
      </w:r>
      <w:r>
        <w:rPr>
          <w:b w:val="0"/>
          <w:i/>
          <w:sz w:val="16"/>
          <w:szCs w:val="16"/>
        </w:rPr>
        <w:t>,съгл.</w:t>
      </w:r>
    </w:p>
    <w:p w:rsidR="00727CF7" w:rsidRPr="00727CF7" w:rsidRDefault="00727CF7">
      <w:pPr>
        <w:pStyle w:val="30"/>
        <w:framePr w:w="2174" w:h="950" w:hRule="exact" w:wrap="none" w:vAnchor="page" w:hAnchor="page" w:x="11599" w:y="1972"/>
        <w:shd w:val="clear" w:color="auto" w:fill="auto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>Заповед№РД-01-138/08.07.20г.</w:t>
      </w:r>
      <w:bookmarkStart w:id="0" w:name="_GoBack"/>
      <w:bookmarkEnd w:id="0"/>
    </w:p>
    <w:p w:rsidR="001C3EA7" w:rsidRDefault="001E1C33">
      <w:pPr>
        <w:pStyle w:val="30"/>
        <w:framePr w:w="2174" w:h="950" w:hRule="exact" w:wrap="none" w:vAnchor="page" w:hAnchor="page" w:x="11599" w:y="1972"/>
        <w:shd w:val="clear" w:color="auto" w:fill="auto"/>
        <w:jc w:val="right"/>
      </w:pPr>
      <w:r>
        <w:t>(подпис)</w:t>
      </w:r>
    </w:p>
    <w:p w:rsidR="001C3EA7" w:rsidRDefault="001E1C33">
      <w:pPr>
        <w:pStyle w:val="30"/>
        <w:framePr w:w="2174" w:h="950" w:hRule="exact" w:wrap="none" w:vAnchor="page" w:hAnchor="page" w:x="11599" w:y="1972"/>
        <w:shd w:val="clear" w:color="auto" w:fill="auto"/>
      </w:pPr>
      <w:r>
        <w:t>Дата:</w:t>
      </w:r>
    </w:p>
    <w:p w:rsidR="001C3EA7" w:rsidRDefault="007A0DC3">
      <w:pPr>
        <w:pStyle w:val="30"/>
        <w:framePr w:w="13882" w:h="1015" w:hRule="exact" w:wrap="none" w:vAnchor="page" w:hAnchor="page" w:x="1072" w:y="3214"/>
        <w:shd w:val="clear" w:color="auto" w:fill="auto"/>
        <w:spacing w:after="141" w:line="240" w:lineRule="exact"/>
        <w:ind w:right="260"/>
        <w:jc w:val="center"/>
      </w:pPr>
      <w:r>
        <w:t xml:space="preserve">ИЗПЪЛНЕНИЕ НА </w:t>
      </w:r>
      <w:r w:rsidR="001E1C33">
        <w:t>АНТИКОРУПЦИОНЕН ПЛАН</w:t>
      </w:r>
      <w:r w:rsidR="00DA0C72">
        <w:t xml:space="preserve"> НА РЗИ-ВРАЦА </w:t>
      </w:r>
    </w:p>
    <w:p w:rsidR="007A0DC3" w:rsidRDefault="007A0DC3">
      <w:pPr>
        <w:pStyle w:val="30"/>
        <w:framePr w:w="13882" w:h="1015" w:hRule="exact" w:wrap="none" w:vAnchor="page" w:hAnchor="page" w:x="1072" w:y="3214"/>
        <w:shd w:val="clear" w:color="auto" w:fill="auto"/>
        <w:spacing w:after="141" w:line="240" w:lineRule="exact"/>
        <w:ind w:right="260"/>
        <w:jc w:val="center"/>
      </w:pPr>
      <w:r>
        <w:t>ЗА ПЪРВОТО ПОЛУГОДИЕ НА 2020ГОДИНА</w:t>
      </w:r>
    </w:p>
    <w:p w:rsidR="001C3EA7" w:rsidRDefault="001E1C33">
      <w:pPr>
        <w:pStyle w:val="a2"/>
        <w:framePr w:wrap="none" w:vAnchor="page" w:hAnchor="page" w:x="1072" w:y="4502"/>
        <w:shd w:val="clear" w:color="auto" w:fill="auto"/>
        <w:spacing w:line="220" w:lineRule="exact"/>
      </w:pPr>
      <w:r>
        <w:t>Корупционен риск - управление, разпореждане или разходване на бюджетни средства и активи, вкл. обществени поръчки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498"/>
        <w:gridCol w:w="1282"/>
        <w:gridCol w:w="1493"/>
        <w:gridCol w:w="1891"/>
      </w:tblGrid>
      <w:tr w:rsidR="001C3EA7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1C3EA7">
        <w:trPr>
          <w:trHeight w:hRule="exact" w:val="156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50118C" w:rsidRDefault="0050118C" w:rsidP="00953FD1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 w:rsidRPr="0050118C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на действащи правила и процедури 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50118C">
              <w:rPr>
                <w:rFonts w:ascii="Times New Roman" w:hAnsi="Times New Roman" w:cs="Times New Roman"/>
                <w:sz w:val="22"/>
                <w:szCs w:val="22"/>
              </w:rPr>
              <w:t>СФУК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50118C" w:rsidRDefault="00463FFB" w:rsidP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Мярката е насочена към промени във вътрешната регулация.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Регламентиране на правила, процедури, отговорности и контрол.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 w:rsidP="00953FD1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Постигане на повече прозрачност в бюджетния процес.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300E77" w:rsidRDefault="00300E77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300E77" w:rsidRDefault="00300E77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Директор на дирекция АПФСО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Pr="00077CEF" w:rsidRDefault="00077CEF" w:rsidP="00077CEF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Актуализирани</w:t>
            </w:r>
            <w:r w:rsidR="0096782C">
              <w:rPr>
                <w:rFonts w:ascii="Times New Roman" w:hAnsi="Times New Roman" w:cs="Times New Roman"/>
                <w:sz w:val="22"/>
                <w:szCs w:val="22"/>
              </w:rPr>
              <w:t xml:space="preserve"> действащи правила и процедури от СФУК.</w:t>
            </w:r>
          </w:p>
        </w:tc>
      </w:tr>
      <w:tr w:rsidR="001C3EA7">
        <w:trPr>
          <w:trHeight w:hRule="exact" w:val="456"/>
        </w:trPr>
        <w:tc>
          <w:tcPr>
            <w:tcW w:w="143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Корупционен риск - извършване на контролни дейности</w:t>
            </w:r>
          </w:p>
        </w:tc>
      </w:tr>
      <w:tr w:rsidR="001C3EA7">
        <w:trPr>
          <w:trHeight w:hRule="exact" w:val="11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 w:rsidSect="00F12B60">
          <w:pgSz w:w="16840" w:h="11900" w:orient="landscape"/>
          <w:pgMar w:top="567" w:right="720" w:bottom="567" w:left="720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555"/>
        <w:gridCol w:w="1224"/>
        <w:gridCol w:w="1613"/>
        <w:gridCol w:w="1771"/>
      </w:tblGrid>
      <w:tr w:rsidR="001C3EA7" w:rsidTr="00BA1FE0">
        <w:trPr>
          <w:trHeight w:hRule="exact" w:val="737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12B60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F12B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>Организиране на обучение на служителите, изпълняващи административно-наказателни функции</w:t>
            </w:r>
            <w:r w:rsidR="000B36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51582" w:rsidRPr="00C03387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Извършване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проверки на принципа на ротация и по системата „контрол на контрола“</w:t>
            </w:r>
            <w:r w:rsidR="000B36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7463C" w:rsidRDefault="0017463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3.Извършване на изненадващи проверки от двама експерти по спазване на Наредба №2 от 2012г.за условията и реда за осъществяване на програми за лечение с агониси-антагонисти на лица, зависими към опиоиди и Наредба №24/2014 за утвърждаване на Медицински стандарт Психиатрия.</w:t>
            </w:r>
          </w:p>
          <w:p w:rsidR="0017463C" w:rsidRDefault="0017463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4.Извършване на  проверки от двама експерти по спазване на</w:t>
            </w:r>
          </w:p>
          <w:p w:rsidR="0017463C" w:rsidRPr="0017463C" w:rsidRDefault="0017463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ЗКПНВ.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D7CBC" w:rsidRPr="00FD7CB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>ярката е насочена към повишаване компетентността на кадрите</w:t>
            </w:r>
          </w:p>
          <w:p w:rsidR="001C3EA7" w:rsidRDefault="001C3EA7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2.Мярката е 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951582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951582">
              <w:rPr>
                <w:rFonts w:ascii="Times New Roman" w:hAnsi="Times New Roman" w:cs="Times New Roman"/>
                <w:sz w:val="22"/>
                <w:szCs w:val="22"/>
              </w:rPr>
              <w:t>адрова.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 xml:space="preserve">Мярката е 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Мярката е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о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582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 xml:space="preserve">Законосъобраз но и ефективно </w:t>
            </w:r>
          </w:p>
          <w:p w:rsidR="00FD7CBC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</w:t>
            </w:r>
          </w:p>
          <w:p w:rsidR="001C3EA7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 наказателно производство.  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2.По- висока ефективност на контрола.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По- висока ефективност на контрола.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По- висока ефективност на контрола.</w:t>
            </w: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FD7CBC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Намаляване броя на незаконосъобразните наказателни постановления.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2.Повишен показател „взискателност“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 контрола.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3.Брой проверки.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Брой проверки.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1.Н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>исък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2.Среден.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3.Нисък.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A3EC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Среден.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Старши юрисконсулт,</w:t>
            </w:r>
          </w:p>
          <w:p w:rsidR="002C0C5B" w:rsidRDefault="002C0C5B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ДАПФСО.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2.Директори на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ДМД, ДНЗБ, ДОЗ.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3.Директор ДМД.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Директор ДМД.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1.Изпълнено.</w:t>
            </w: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2.Изпълнено-извършени 68 бр. проверки.</w:t>
            </w: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3.Изпълнено-извършени 4 бр. проверки.</w:t>
            </w: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P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4.Изпълнено-извършени 15 бр. проверки.</w:t>
            </w:r>
          </w:p>
        </w:tc>
      </w:tr>
      <w:tr w:rsidR="001C3EA7" w:rsidTr="00256799">
        <w:trPr>
          <w:trHeight w:hRule="exact" w:val="284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Корупционен риск - предоставяне на административни услуги, концесии, издаване на лицензи и разрешения, регистрационни режими</w:t>
            </w:r>
          </w:p>
        </w:tc>
      </w:tr>
      <w:tr w:rsidR="001C3EA7" w:rsidTr="00F12B60">
        <w:trPr>
          <w:trHeight w:hRule="exact" w:val="107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C86AF4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Причини</w:t>
            </w:r>
            <w:r>
              <w:rPr>
                <w:rStyle w:val="21"/>
                <w:lang w:val="en-US"/>
              </w:rPr>
              <w:t xml:space="preserve"> </w:t>
            </w:r>
            <w:r w:rsidR="001E1C33">
              <w:rPr>
                <w:rStyle w:val="21"/>
              </w:rPr>
              <w:t>при неизпълнение</w:t>
            </w:r>
          </w:p>
        </w:tc>
      </w:tr>
      <w:tr w:rsidR="001C3EA7" w:rsidTr="00BA1FE0">
        <w:trPr>
          <w:trHeight w:hRule="exact" w:val="175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1.Актуализиране на процедурите за административни услуги.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2.Анонимно проучване </w:t>
            </w: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принципа „обратна връзка с клиентите“.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Мярката има организационен характер.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2.Мярката има организационен характер.</w:t>
            </w: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1.Намаляване намесата на човешкия фактор.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2.Повишено обществено доверие.</w:t>
            </w: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1.При необходимост.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2.На тримесечие.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1.Актуализира ни процедури за административни услуги.</w:t>
            </w: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2.Подобряване на КАО.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1.Среден.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2.Нисък.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1.Директори на ДМД, ДНЗБ, ДОЗ, ДАПФСО.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2.Директор </w:t>
            </w:r>
            <w:r w:rsidR="00486371">
              <w:rPr>
                <w:rFonts w:ascii="Times New Roman" w:hAnsi="Times New Roman" w:cs="Times New Roman"/>
                <w:sz w:val="22"/>
                <w:szCs w:val="22"/>
              </w:rPr>
              <w:t>ДАПФСО.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1.Изпълнено.</w:t>
            </w: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P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2.Изпълнено</w:t>
            </w:r>
          </w:p>
        </w:tc>
      </w:tr>
      <w:tr w:rsidR="001C3EA7" w:rsidTr="00BA1FE0">
        <w:trPr>
          <w:trHeight w:hRule="exact" w:val="284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Корупционен риск -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776"/>
        <w:gridCol w:w="1003"/>
        <w:gridCol w:w="1646"/>
        <w:gridCol w:w="1738"/>
      </w:tblGrid>
      <w:tr w:rsidR="001C3EA7" w:rsidTr="00AC6B35">
        <w:trPr>
          <w:trHeight w:hRule="exact" w:val="113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lastRenderedPageBreak/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 w:rsidRPr="00F12B60">
              <w:rPr>
                <w:rStyle w:val="21"/>
                <w:rFonts w:eastAsia="DejaVu Sans Condensed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AF4" w:rsidRDefault="00C86AF4" w:rsidP="00C86AF4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</w:t>
            </w:r>
          </w:p>
          <w:p w:rsidR="00C86AF4" w:rsidRDefault="00C86AF4" w:rsidP="00C86AF4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C86AF4" w:rsidP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AF4" w:rsidRDefault="00C86AF4" w:rsidP="00C86AF4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C86AF4" w:rsidP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Причини при неизпълнение</w:t>
            </w:r>
          </w:p>
        </w:tc>
      </w:tr>
      <w:tr w:rsidR="001C3EA7" w:rsidTr="006A3EC5">
        <w:trPr>
          <w:trHeight w:hRule="exact" w:val="579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Корупционен риск -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1C3EA7">
        <w:trPr>
          <w:trHeight w:hRule="exact" w:val="124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Степен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1C3EA7" w:rsidTr="00AC6B35">
        <w:trPr>
          <w:trHeight w:hRule="exact" w:val="113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07202" w:rsidTr="00AC6B35">
        <w:trPr>
          <w:trHeight w:hRule="exact" w:val="113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07202" w:rsidTr="00AC6B35">
        <w:trPr>
          <w:trHeight w:hRule="exact" w:val="113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C3EA7" w:rsidTr="006A3EC5">
        <w:trPr>
          <w:trHeight w:hRule="exact" w:val="355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Други мерки с оглед специфичните рискове в съответните ведомства</w:t>
            </w:r>
          </w:p>
        </w:tc>
      </w:tr>
      <w:tr w:rsidR="001C3EA7">
        <w:trPr>
          <w:trHeight w:hRule="exact" w:val="11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Степен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864"/>
        <w:gridCol w:w="715"/>
        <w:gridCol w:w="1411"/>
        <w:gridCol w:w="1118"/>
        <w:gridCol w:w="758"/>
        <w:gridCol w:w="902"/>
        <w:gridCol w:w="1608"/>
        <w:gridCol w:w="1776"/>
      </w:tblGrid>
      <w:tr w:rsidR="001C3EA7" w:rsidTr="00097CDE">
        <w:trPr>
          <w:trHeight w:hRule="exact" w:val="142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097CDE" w:rsidRDefault="00953FD1" w:rsidP="006804AF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Въвеждане на </w:t>
            </w:r>
            <w:r w:rsidR="006804AF">
              <w:rPr>
                <w:rFonts w:ascii="Times New Roman" w:hAnsi="Times New Roman" w:cs="Times New Roman"/>
                <w:sz w:val="22"/>
                <w:szCs w:val="22"/>
              </w:rPr>
              <w:t xml:space="preserve">европейския модел </w:t>
            </w:r>
            <w:r w:rsidR="00097CDE">
              <w:rPr>
                <w:rFonts w:ascii="Times New Roman" w:hAnsi="Times New Roman" w:cs="Times New Roman"/>
                <w:sz w:val="22"/>
                <w:szCs w:val="22"/>
              </w:rPr>
              <w:t xml:space="preserve"> за качество </w:t>
            </w:r>
            <w:r w:rsidR="0009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CAF</w:t>
            </w:r>
            <w:r w:rsidR="006804AF">
              <w:rPr>
                <w:rFonts w:ascii="Times New Roman" w:hAnsi="Times New Roman" w:cs="Times New Roman"/>
                <w:sz w:val="22"/>
                <w:szCs w:val="22"/>
              </w:rPr>
              <w:t>-2013 в РЗИ-Враца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097CDE" w:rsidRDefault="00097CD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Мярката има организационен и кадрови характер.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CDE" w:rsidRDefault="006804AF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Подобряване на управлението</w:t>
            </w:r>
            <w:r w:rsidR="00097CDE">
              <w:rPr>
                <w:rFonts w:ascii="Times New Roman" w:hAnsi="Times New Roman" w:cs="Times New Roman"/>
                <w:sz w:val="22"/>
                <w:szCs w:val="22"/>
              </w:rPr>
              <w:t xml:space="preserve"> на администрация</w:t>
            </w:r>
          </w:p>
          <w:p w:rsidR="001C3EA7" w:rsidRPr="00097CDE" w:rsidRDefault="00097CD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953FD1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6804AF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8C2D5A">
              <w:rPr>
                <w:rFonts w:ascii="Times New Roman" w:hAnsi="Times New Roman" w:cs="Times New Roman"/>
                <w:sz w:val="22"/>
                <w:szCs w:val="22"/>
              </w:rPr>
              <w:t>правление на качеството в администрацията.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ниска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Екип по внедряване на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CAF</w:t>
            </w:r>
            <w:r w:rsidR="002F41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Pr="0096782C" w:rsidRDefault="0096782C" w:rsidP="00E4123A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Изпълнен първият етап от въвеждане на модел</w:t>
            </w:r>
            <w:r w:rsidR="00E4123A">
              <w:rPr>
                <w:rFonts w:ascii="Times New Roman" w:hAnsi="Times New Roman" w:cs="Times New Roman"/>
                <w:sz w:val="22"/>
                <w:szCs w:val="22"/>
              </w:rPr>
              <w:t>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123A">
              <w:rPr>
                <w:rFonts w:ascii="Times New Roman" w:hAnsi="Times New Roman" w:cs="Times New Roman"/>
                <w:sz w:val="22"/>
                <w:szCs w:val="22"/>
              </w:rPr>
              <w:t>изготвен Доклад за самооценка.</w:t>
            </w:r>
          </w:p>
        </w:tc>
      </w:tr>
      <w:tr w:rsidR="001C3EA7" w:rsidTr="00C86AF4">
        <w:trPr>
          <w:trHeight w:hRule="exact" w:val="284"/>
        </w:trPr>
        <w:tc>
          <w:tcPr>
            <w:tcW w:w="14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Мерки за публичност</w:t>
            </w:r>
          </w:p>
        </w:tc>
      </w:tr>
      <w:tr w:rsidR="001C3EA7" w:rsidTr="00C86AF4">
        <w:trPr>
          <w:trHeight w:hRule="exact"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Отговорно лице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"/>
              </w:rPr>
              <w:t>Причини за неизпълнение</w:t>
            </w:r>
          </w:p>
        </w:tc>
      </w:tr>
      <w:tr w:rsidR="001C3EA7" w:rsidTr="00AC6B35">
        <w:trPr>
          <w:trHeight w:hRule="exact" w:val="452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1.Публикуване в уеб страницата на инспекцията на информация за дейността на инспекцията- ежеседмично; за изпълнение на целите-ежегодно; „обратна връзка“ с клиентите-на тримесечие</w:t>
            </w:r>
            <w:r w:rsidR="00E20579">
              <w:rPr>
                <w:rFonts w:ascii="Times New Roman" w:hAnsi="Times New Roman" w:cs="Times New Roman"/>
                <w:sz w:val="22"/>
                <w:szCs w:val="22"/>
              </w:rPr>
              <w:t>; за изпълнение на антикорупционните мерки-на шестмесечие.</w:t>
            </w:r>
          </w:p>
          <w:p w:rsidR="00FB0E48" w:rsidRPr="0001026A" w:rsidRDefault="00FB0E48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A2B8E">
              <w:rPr>
                <w:rFonts w:ascii="Times New Roman" w:hAnsi="Times New Roman" w:cs="Times New Roman"/>
                <w:sz w:val="22"/>
                <w:szCs w:val="22"/>
              </w:rPr>
              <w:t>Актуализиране на информацията в секция „Антикорупция“ на сайта на инспекцията.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 график.</w:t>
            </w: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Pr="0001026A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При необходимост.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1.Директор ДАПФСО.</w:t>
            </w: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Pr="0001026A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2A1D">
              <w:rPr>
                <w:rFonts w:ascii="Times New Roman" w:hAnsi="Times New Roman" w:cs="Times New Roman"/>
                <w:sz w:val="22"/>
                <w:szCs w:val="22"/>
              </w:rPr>
              <w:t>2.Директор ДАПФСО.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1.Изпълнено.</w:t>
            </w: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Изпълнено.</w:t>
            </w:r>
          </w:p>
          <w:p w:rsidR="00E4123A" w:rsidRP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3.Издадени и разпространени листовки „Не на корупцията“.</w:t>
            </w:r>
          </w:p>
        </w:tc>
      </w:tr>
      <w:tr w:rsidR="001C3EA7" w:rsidTr="00C86AF4">
        <w:trPr>
          <w:trHeight w:hRule="exact" w:val="284"/>
        </w:trPr>
        <w:tc>
          <w:tcPr>
            <w:tcW w:w="14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Обучения</w:t>
            </w:r>
          </w:p>
        </w:tc>
      </w:tr>
      <w:tr w:rsidR="001C3EA7" w:rsidTr="00AC6B35">
        <w:trPr>
          <w:trHeight w:hRule="exact" w:val="61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AC6B35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Брой</w:t>
            </w:r>
            <w:r>
              <w:rPr>
                <w:rStyle w:val="21"/>
                <w:lang w:val="en-US"/>
              </w:rPr>
              <w:t xml:space="preserve"> </w:t>
            </w:r>
            <w:r w:rsidR="001E1C33">
              <w:rPr>
                <w:rStyle w:val="21"/>
              </w:rPr>
              <w:t>на проведените обучения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Теми, по които са проведени обучения и броя на обучените по всяка тема служители с длъжността им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</w:tr>
      <w:tr w:rsidR="001C3EA7" w:rsidTr="00C86AF4">
        <w:trPr>
          <w:trHeight w:hRule="exact" w:val="181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Pr="00607202" w:rsidRDefault="001C3EA7" w:rsidP="00F92A1D">
            <w:pPr>
              <w:framePr w:w="14333" w:h="7267" w:wrap="none" w:vAnchor="page" w:hAnchor="page" w:x="981" w:y="139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>Задължения и проверка на декларациите</w:t>
            </w:r>
            <w:r w:rsidR="00FE2797">
              <w:rPr>
                <w:rFonts w:ascii="Times New Roman" w:hAnsi="Times New Roman" w:cs="Times New Roman"/>
                <w:sz w:val="22"/>
                <w:szCs w:val="22"/>
              </w:rPr>
              <w:t xml:space="preserve"> за имущество и интереси;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и за </w:t>
            </w:r>
            <w:r w:rsidR="00FE2797">
              <w:rPr>
                <w:rFonts w:ascii="Times New Roman" w:hAnsi="Times New Roman" w:cs="Times New Roman"/>
                <w:sz w:val="22"/>
                <w:szCs w:val="22"/>
              </w:rPr>
              <w:t>несъвместимост,</w:t>
            </w:r>
            <w:r w:rsidR="00607202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на лица, заемащи публична длъ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>жност</w:t>
            </w:r>
            <w:r w:rsidR="004143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съгласно За</w:t>
            </w:r>
            <w:r w:rsidR="00607202" w:rsidRPr="004143B8">
              <w:rPr>
                <w:rFonts w:ascii="Times New Roman" w:hAnsi="Times New Roman" w:cs="Times New Roman"/>
                <w:sz w:val="22"/>
                <w:szCs w:val="22"/>
              </w:rPr>
              <w:t>кона за противодействие на корупцията и отнемане на незаконно придобитото имущество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2A1D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2.Превенция и противодействие на корупцията.</w:t>
            </w:r>
          </w:p>
          <w:p w:rsidR="00F92A1D" w:rsidRPr="00607202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3.Практически умения по прилагане на специализираната нормативна уредба.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1.Публикувани декларации.</w:t>
            </w: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Повишен интегритет на инспекцията.</w:t>
            </w:r>
          </w:p>
          <w:p w:rsidR="00F92A1D" w:rsidRP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Подобрена дейност на инспекцията.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1277"/>
        <w:gridCol w:w="1584"/>
        <w:gridCol w:w="4008"/>
        <w:gridCol w:w="3216"/>
        <w:gridCol w:w="1829"/>
      </w:tblGrid>
      <w:tr w:rsidR="001C3EA7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lastRenderedPageBreak/>
              <w:t>Адрес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E-mail </w:t>
            </w:r>
            <w:r>
              <w:rPr>
                <w:rStyle w:val="21"/>
              </w:rPr>
              <w:t>адрес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Телефонен номер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D0E" w:rsidRDefault="00454D0E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  <w:vertAlign w:val="superscript"/>
              </w:rPr>
            </w:pPr>
          </w:p>
          <w:p w:rsidR="00454D0E" w:rsidRPr="00454D0E" w:rsidRDefault="00454D0E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b/>
              </w:rPr>
            </w:pPr>
            <w:r w:rsidRPr="00454D0E">
              <w:rPr>
                <w:rStyle w:val="21"/>
                <w:b/>
                <w:vertAlign w:val="superscript"/>
              </w:rPr>
              <w:t>ДРУГИ</w:t>
            </w:r>
          </w:p>
        </w:tc>
      </w:tr>
      <w:tr w:rsidR="001C3EA7">
        <w:trPr>
          <w:trHeight w:hRule="exact" w:val="154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Гр. Враца 3000, ул. „Черни Дрин“ №2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rzi@rzi-vratsa.com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 w:rsidP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092/ 62 63 77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 w:rsidP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 w:rsidRPr="002C2C92">
              <w:rPr>
                <w:rFonts w:ascii="Times New Roman" w:hAnsi="Times New Roman" w:cs="Times New Roman"/>
                <w:sz w:val="22"/>
                <w:szCs w:val="22"/>
              </w:rPr>
              <w:t>Гр. Враца 3000, ул. „Черни Дрин“ №2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първи етаж; на видно място в близост до централния вход на инспекцията</w:t>
            </w:r>
            <w:r w:rsidR="00454D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454D0E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Онлайн на сайта на инспекцията:</w:t>
            </w:r>
          </w:p>
          <w:p w:rsidR="00454D0E" w:rsidRPr="00D52791" w:rsidRDefault="00D52791" w:rsidP="00D52791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www.rzi-vratsa.com</w:t>
            </w:r>
          </w:p>
        </w:tc>
      </w:tr>
      <w:tr w:rsidR="001C3EA7">
        <w:trPr>
          <w:trHeight w:hRule="exact" w:val="422"/>
        </w:trPr>
        <w:tc>
          <w:tcPr>
            <w:tcW w:w="143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Мерки за защита на лицата, подали сигнали</w:t>
            </w:r>
          </w:p>
        </w:tc>
      </w:tr>
      <w:tr w:rsidR="001C3EA7">
        <w:trPr>
          <w:trHeight w:hRule="exact" w:val="1291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Същност на мерките</w:t>
            </w:r>
          </w:p>
          <w:p w:rsidR="007E71C8" w:rsidRDefault="007E71C8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</w:p>
          <w:p w:rsidR="00D52791" w:rsidRDefault="000376D7" w:rsidP="00F81988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Процедура за защита на подалите сигнали за корупция</w:t>
            </w:r>
            <w:r w:rsidR="00D52791">
              <w:rPr>
                <w:rStyle w:val="21"/>
              </w:rPr>
              <w:t xml:space="preserve"> в РЗИ-Враца.</w:t>
            </w:r>
          </w:p>
        </w:tc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1C8" w:rsidRDefault="007E71C8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1C8" w:rsidRPr="00D52791" w:rsidRDefault="007E71C8" w:rsidP="007E71C8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ДАПФСО.</w:t>
            </w:r>
          </w:p>
        </w:tc>
      </w:tr>
    </w:tbl>
    <w:p w:rsidR="00F92A1D" w:rsidRDefault="00F92A1D" w:rsidP="00F92A1D">
      <w:pPr>
        <w:pStyle w:val="a2"/>
        <w:framePr w:wrap="none" w:vAnchor="page" w:hAnchor="page" w:x="952" w:y="911"/>
        <w:shd w:val="clear" w:color="auto" w:fill="auto"/>
        <w:spacing w:line="220" w:lineRule="exact"/>
      </w:pPr>
      <w:r>
        <w:t>Посочване на възможни начини за подаване на сигнали</w:t>
      </w:r>
    </w:p>
    <w:p w:rsidR="001C3EA7" w:rsidRDefault="001C3EA7">
      <w:pPr>
        <w:rPr>
          <w:sz w:val="2"/>
          <w:szCs w:val="2"/>
        </w:rPr>
      </w:pPr>
    </w:p>
    <w:sectPr w:rsidR="001C3EA7" w:rsidSect="00F2357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DC" w:rsidRDefault="00D66ADC">
      <w:r>
        <w:separator/>
      </w:r>
    </w:p>
  </w:endnote>
  <w:endnote w:type="continuationSeparator" w:id="0">
    <w:p w:rsidR="00D66ADC" w:rsidRDefault="00D6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Condensed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DC" w:rsidRDefault="00D66ADC"/>
  </w:footnote>
  <w:footnote w:type="continuationSeparator" w:id="0">
    <w:p w:rsidR="00D66ADC" w:rsidRDefault="00D66A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A7"/>
    <w:rsid w:val="00003285"/>
    <w:rsid w:val="0001026A"/>
    <w:rsid w:val="000376D7"/>
    <w:rsid w:val="00077CEF"/>
    <w:rsid w:val="00097CDE"/>
    <w:rsid w:val="000B3659"/>
    <w:rsid w:val="0017463C"/>
    <w:rsid w:val="00175402"/>
    <w:rsid w:val="001C1747"/>
    <w:rsid w:val="001C3EA7"/>
    <w:rsid w:val="001E1C33"/>
    <w:rsid w:val="001E5B5A"/>
    <w:rsid w:val="00256799"/>
    <w:rsid w:val="00261943"/>
    <w:rsid w:val="002B231A"/>
    <w:rsid w:val="002C0C5B"/>
    <w:rsid w:val="002C2C92"/>
    <w:rsid w:val="002F419E"/>
    <w:rsid w:val="00300E77"/>
    <w:rsid w:val="00324773"/>
    <w:rsid w:val="00392536"/>
    <w:rsid w:val="003A510C"/>
    <w:rsid w:val="004143B8"/>
    <w:rsid w:val="00454D0E"/>
    <w:rsid w:val="00463FFB"/>
    <w:rsid w:val="00473320"/>
    <w:rsid w:val="00486371"/>
    <w:rsid w:val="004A2B8E"/>
    <w:rsid w:val="004A7414"/>
    <w:rsid w:val="004A7F40"/>
    <w:rsid w:val="004D559B"/>
    <w:rsid w:val="0050118C"/>
    <w:rsid w:val="00522199"/>
    <w:rsid w:val="00572A67"/>
    <w:rsid w:val="005D2BF8"/>
    <w:rsid w:val="00607202"/>
    <w:rsid w:val="00655747"/>
    <w:rsid w:val="00661331"/>
    <w:rsid w:val="006804AF"/>
    <w:rsid w:val="006915E8"/>
    <w:rsid w:val="006A3EC5"/>
    <w:rsid w:val="006D59E4"/>
    <w:rsid w:val="00727CF7"/>
    <w:rsid w:val="00755073"/>
    <w:rsid w:val="007A0DC3"/>
    <w:rsid w:val="007E71C8"/>
    <w:rsid w:val="0081766E"/>
    <w:rsid w:val="008B5247"/>
    <w:rsid w:val="008B646C"/>
    <w:rsid w:val="008C2D5A"/>
    <w:rsid w:val="00931A1F"/>
    <w:rsid w:val="00951582"/>
    <w:rsid w:val="00953FD1"/>
    <w:rsid w:val="0096782C"/>
    <w:rsid w:val="009A38E6"/>
    <w:rsid w:val="00AC6B35"/>
    <w:rsid w:val="00B36954"/>
    <w:rsid w:val="00B66D24"/>
    <w:rsid w:val="00BA1FE0"/>
    <w:rsid w:val="00C03387"/>
    <w:rsid w:val="00C86AF4"/>
    <w:rsid w:val="00CE65E3"/>
    <w:rsid w:val="00D114F6"/>
    <w:rsid w:val="00D13227"/>
    <w:rsid w:val="00D52791"/>
    <w:rsid w:val="00D66ADC"/>
    <w:rsid w:val="00D7745C"/>
    <w:rsid w:val="00D815C0"/>
    <w:rsid w:val="00DA0C72"/>
    <w:rsid w:val="00DC05B0"/>
    <w:rsid w:val="00E20579"/>
    <w:rsid w:val="00E4123A"/>
    <w:rsid w:val="00ED7FF5"/>
    <w:rsid w:val="00EE020B"/>
    <w:rsid w:val="00F12B60"/>
    <w:rsid w:val="00F2357E"/>
    <w:rsid w:val="00F81988"/>
    <w:rsid w:val="00F92A1D"/>
    <w:rsid w:val="00FB0E48"/>
    <w:rsid w:val="00FD7CBC"/>
    <w:rsid w:val="00FE2797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Горен или долен колонтитул_"/>
    <w:basedOn w:val="DefaultParagraphFont"/>
    <w:link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Заглавие на таблица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2">
    <w:name w:val="Заглавие на таблица"/>
    <w:basedOn w:val="Normal"/>
    <w:link w:val="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E6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Горен или долен колонтитул_"/>
    <w:basedOn w:val="DefaultParagraphFont"/>
    <w:link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Заглавие на таблица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2">
    <w:name w:val="Заглавие на таблица"/>
    <w:basedOn w:val="Normal"/>
    <w:link w:val="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E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53ED-D112-4BDD-B74E-CC808EEC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JURE</dc:creator>
  <cp:lastModifiedBy>Todorova</cp:lastModifiedBy>
  <cp:revision>2</cp:revision>
  <dcterms:created xsi:type="dcterms:W3CDTF">2020-07-10T08:07:00Z</dcterms:created>
  <dcterms:modified xsi:type="dcterms:W3CDTF">2020-07-10T08:07:00Z</dcterms:modified>
</cp:coreProperties>
</file>